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24F" w:rsidRPr="0086724F" w:rsidRDefault="0086724F" w:rsidP="0086724F">
      <w:pPr>
        <w:spacing w:after="0" w:line="360" w:lineRule="auto"/>
        <w:jc w:val="right"/>
        <w:rPr>
          <w:rFonts w:ascii="Arial" w:hAnsi="Arial" w:cs="Arial"/>
          <w:b/>
          <w:sz w:val="24"/>
          <w:szCs w:val="24"/>
        </w:rPr>
      </w:pPr>
      <w:r w:rsidRPr="0086724F">
        <w:rPr>
          <w:rFonts w:ascii="Arial" w:hAnsi="Arial" w:cs="Arial"/>
          <w:b/>
          <w:sz w:val="24"/>
          <w:szCs w:val="24"/>
        </w:rPr>
        <w:t>INFORME DE CASO</w:t>
      </w:r>
    </w:p>
    <w:p w:rsidR="0086724F" w:rsidRDefault="0086724F" w:rsidP="003034E3">
      <w:pPr>
        <w:spacing w:after="0" w:line="360" w:lineRule="auto"/>
        <w:jc w:val="both"/>
        <w:rPr>
          <w:rFonts w:ascii="Arial" w:hAnsi="Arial" w:cs="Arial"/>
          <w:sz w:val="24"/>
          <w:szCs w:val="24"/>
        </w:rPr>
      </w:pPr>
      <w:r w:rsidRPr="0086724F">
        <w:rPr>
          <w:rFonts w:ascii="Arial" w:hAnsi="Arial" w:cs="Arial"/>
          <w:b/>
          <w:sz w:val="24"/>
          <w:szCs w:val="24"/>
        </w:rPr>
        <w:t>Injerto libre de encía en el paciente menor de 19 años. Presentación de caso</w:t>
      </w:r>
      <w:r>
        <w:rPr>
          <w:rFonts w:ascii="Arial" w:hAnsi="Arial" w:cs="Arial"/>
          <w:sz w:val="24"/>
          <w:szCs w:val="24"/>
        </w:rPr>
        <w:t>.</w:t>
      </w:r>
    </w:p>
    <w:p w:rsidR="0086724F" w:rsidRDefault="0086724F" w:rsidP="003034E3">
      <w:pPr>
        <w:spacing w:after="0" w:line="360" w:lineRule="auto"/>
        <w:jc w:val="both"/>
        <w:rPr>
          <w:rFonts w:ascii="Arial" w:hAnsi="Arial" w:cs="Arial"/>
          <w:sz w:val="24"/>
          <w:szCs w:val="24"/>
        </w:rPr>
      </w:pPr>
    </w:p>
    <w:p w:rsidR="00CD3413" w:rsidRDefault="0086724F" w:rsidP="003034E3">
      <w:pPr>
        <w:spacing w:after="0" w:line="360" w:lineRule="auto"/>
        <w:jc w:val="both"/>
        <w:rPr>
          <w:rFonts w:ascii="Arial" w:hAnsi="Arial" w:cs="Arial"/>
          <w:sz w:val="24"/>
          <w:szCs w:val="24"/>
        </w:rPr>
      </w:pPr>
      <w:r>
        <w:rPr>
          <w:rFonts w:ascii="Arial" w:hAnsi="Arial" w:cs="Arial"/>
          <w:sz w:val="24"/>
          <w:szCs w:val="24"/>
        </w:rPr>
        <w:t xml:space="preserve">Marysol Rodriguez Felipe </w:t>
      </w:r>
      <w:r w:rsidRPr="0086724F">
        <w:rPr>
          <w:rFonts w:ascii="Arial" w:hAnsi="Arial" w:cs="Arial"/>
          <w:sz w:val="24"/>
          <w:szCs w:val="24"/>
          <w:vertAlign w:val="superscript"/>
        </w:rPr>
        <w:t>1</w:t>
      </w:r>
      <w:r>
        <w:rPr>
          <w:rFonts w:ascii="Arial" w:hAnsi="Arial" w:cs="Arial"/>
          <w:sz w:val="24"/>
          <w:szCs w:val="24"/>
          <w:vertAlign w:val="superscript"/>
        </w:rPr>
        <w:t>*·</w:t>
      </w:r>
      <w:r>
        <w:rPr>
          <w:rFonts w:ascii="Arial" w:hAnsi="Arial" w:cs="Arial"/>
          <w:sz w:val="24"/>
          <w:szCs w:val="24"/>
        </w:rPr>
        <w:t xml:space="preserve"> https://orcid.org/0000-0002-1751-4150</w:t>
      </w:r>
    </w:p>
    <w:p w:rsidR="0086724F" w:rsidRPr="0086724F" w:rsidRDefault="0086724F" w:rsidP="003034E3">
      <w:pPr>
        <w:spacing w:after="0" w:line="360" w:lineRule="auto"/>
        <w:jc w:val="both"/>
        <w:rPr>
          <w:rFonts w:ascii="Arial" w:hAnsi="Arial" w:cs="Arial"/>
          <w:sz w:val="24"/>
          <w:szCs w:val="24"/>
        </w:rPr>
      </w:pPr>
      <w:r>
        <w:rPr>
          <w:rFonts w:ascii="Arial" w:hAnsi="Arial" w:cs="Arial"/>
          <w:sz w:val="24"/>
          <w:szCs w:val="24"/>
        </w:rPr>
        <w:t xml:space="preserve">Lázaro Sarduy Bermúdez </w:t>
      </w:r>
      <w:r>
        <w:rPr>
          <w:rFonts w:ascii="Arial" w:hAnsi="Arial" w:cs="Arial"/>
          <w:sz w:val="24"/>
          <w:szCs w:val="24"/>
          <w:vertAlign w:val="superscript"/>
        </w:rPr>
        <w:t>1</w:t>
      </w:r>
      <w:r>
        <w:rPr>
          <w:rFonts w:ascii="Arial" w:hAnsi="Arial" w:cs="Arial"/>
          <w:sz w:val="24"/>
          <w:szCs w:val="24"/>
        </w:rPr>
        <w:t xml:space="preserve"> https://orcid.org/0000-0002-8590-1216</w:t>
      </w:r>
    </w:p>
    <w:p w:rsidR="0086724F" w:rsidRPr="0086724F" w:rsidRDefault="0086724F" w:rsidP="003034E3">
      <w:pPr>
        <w:spacing w:after="0" w:line="360" w:lineRule="auto"/>
        <w:jc w:val="both"/>
        <w:rPr>
          <w:rFonts w:ascii="Arial" w:hAnsi="Arial" w:cs="Arial"/>
          <w:sz w:val="24"/>
          <w:szCs w:val="24"/>
        </w:rPr>
      </w:pPr>
      <w:r w:rsidRPr="0086724F">
        <w:rPr>
          <w:rFonts w:ascii="Arial" w:hAnsi="Arial" w:cs="Arial"/>
          <w:sz w:val="24"/>
          <w:szCs w:val="24"/>
          <w:vertAlign w:val="superscript"/>
        </w:rPr>
        <w:t>1</w:t>
      </w:r>
      <w:r>
        <w:rPr>
          <w:rFonts w:ascii="Arial" w:hAnsi="Arial" w:cs="Arial"/>
          <w:sz w:val="24"/>
          <w:szCs w:val="24"/>
        </w:rPr>
        <w:t xml:space="preserve"> Universidad de Ciencias Médicas de Villa Clara</w:t>
      </w:r>
    </w:p>
    <w:p w:rsidR="0086724F" w:rsidRDefault="0086724F" w:rsidP="003034E3">
      <w:pPr>
        <w:spacing w:after="0" w:line="360" w:lineRule="auto"/>
        <w:jc w:val="both"/>
        <w:rPr>
          <w:rFonts w:ascii="Arial" w:hAnsi="Arial" w:cs="Arial"/>
          <w:sz w:val="24"/>
          <w:szCs w:val="24"/>
        </w:rPr>
      </w:pPr>
    </w:p>
    <w:p w:rsidR="0086724F" w:rsidRDefault="0086724F" w:rsidP="003034E3">
      <w:pPr>
        <w:spacing w:after="0" w:line="360" w:lineRule="auto"/>
        <w:jc w:val="both"/>
        <w:rPr>
          <w:rFonts w:ascii="Arial" w:hAnsi="Arial" w:cs="Arial"/>
          <w:sz w:val="24"/>
          <w:szCs w:val="24"/>
        </w:rPr>
      </w:pPr>
      <w:r>
        <w:rPr>
          <w:rFonts w:ascii="Arial" w:hAnsi="Arial" w:cs="Arial"/>
          <w:sz w:val="24"/>
          <w:szCs w:val="24"/>
        </w:rPr>
        <w:t>*Autor para la correspondencia: Correo electrónico:</w:t>
      </w:r>
      <w:r w:rsidR="00EA6E06">
        <w:rPr>
          <w:rFonts w:ascii="Arial" w:hAnsi="Arial" w:cs="Arial"/>
          <w:sz w:val="24"/>
          <w:szCs w:val="24"/>
        </w:rPr>
        <w:t xml:space="preserve"> </w:t>
      </w:r>
      <w:r>
        <w:rPr>
          <w:rFonts w:ascii="Arial" w:hAnsi="Arial" w:cs="Arial"/>
          <w:sz w:val="24"/>
          <w:szCs w:val="24"/>
        </w:rPr>
        <w:t>felipemarysol31</w:t>
      </w:r>
      <w:r w:rsidR="00EA6E06">
        <w:rPr>
          <w:rFonts w:ascii="Arial" w:hAnsi="Arial" w:cs="Arial"/>
          <w:sz w:val="24"/>
          <w:szCs w:val="24"/>
        </w:rPr>
        <w:t>gmail.com</w:t>
      </w:r>
    </w:p>
    <w:p w:rsidR="0086724F" w:rsidRDefault="0086724F" w:rsidP="003034E3">
      <w:pPr>
        <w:spacing w:after="0" w:line="360" w:lineRule="auto"/>
        <w:jc w:val="both"/>
        <w:rPr>
          <w:rFonts w:ascii="Arial" w:hAnsi="Arial" w:cs="Arial"/>
          <w:sz w:val="24"/>
          <w:szCs w:val="24"/>
        </w:rPr>
      </w:pPr>
    </w:p>
    <w:p w:rsidR="0086724F" w:rsidRDefault="00CD1DA8" w:rsidP="003034E3">
      <w:pPr>
        <w:spacing w:after="0" w:line="360" w:lineRule="auto"/>
        <w:jc w:val="both"/>
        <w:rPr>
          <w:rFonts w:ascii="Arial" w:hAnsi="Arial" w:cs="Arial"/>
          <w:sz w:val="24"/>
          <w:szCs w:val="24"/>
        </w:rPr>
      </w:pPr>
      <w:r>
        <w:rPr>
          <w:rFonts w:ascii="Arial" w:hAnsi="Arial" w:cs="Arial"/>
          <w:sz w:val="24"/>
          <w:szCs w:val="24"/>
        </w:rPr>
        <w:t>Resumen</w:t>
      </w:r>
    </w:p>
    <w:p w:rsidR="00CD1DA8" w:rsidRDefault="00CD1DA8" w:rsidP="003034E3">
      <w:pPr>
        <w:spacing w:after="0" w:line="360" w:lineRule="auto"/>
        <w:jc w:val="both"/>
        <w:rPr>
          <w:rFonts w:ascii="Arial" w:hAnsi="Arial" w:cs="Arial"/>
          <w:sz w:val="24"/>
          <w:szCs w:val="24"/>
        </w:rPr>
      </w:pPr>
      <w:r w:rsidRPr="00944CD0">
        <w:rPr>
          <w:rFonts w:ascii="Arial" w:hAnsi="Arial" w:cs="Arial"/>
          <w:sz w:val="24"/>
          <w:szCs w:val="24"/>
        </w:rPr>
        <w:t xml:space="preserve">La prevalencia de la </w:t>
      </w:r>
      <w:r>
        <w:rPr>
          <w:rFonts w:ascii="Arial" w:hAnsi="Arial" w:cs="Arial"/>
          <w:sz w:val="24"/>
          <w:szCs w:val="24"/>
        </w:rPr>
        <w:t>recesión periodontal</w:t>
      </w:r>
      <w:r w:rsidRPr="00944CD0">
        <w:rPr>
          <w:rFonts w:ascii="Arial" w:hAnsi="Arial" w:cs="Arial"/>
          <w:sz w:val="24"/>
          <w:szCs w:val="24"/>
        </w:rPr>
        <w:t xml:space="preserve"> aumenta con la edad; sin embargo, en las últimas décadas, la tendencia es hacia el incremento en edades tempranas de la vida.</w:t>
      </w:r>
      <w:r w:rsidRPr="00CD1DA8">
        <w:rPr>
          <w:rFonts w:ascii="Arial" w:hAnsi="Arial" w:cs="Arial"/>
          <w:sz w:val="24"/>
          <w:szCs w:val="24"/>
        </w:rPr>
        <w:t xml:space="preserve"> </w:t>
      </w:r>
      <w:r w:rsidRPr="00107C8B">
        <w:rPr>
          <w:rFonts w:ascii="Arial" w:hAnsi="Arial" w:cs="Arial"/>
          <w:sz w:val="24"/>
          <w:szCs w:val="24"/>
        </w:rPr>
        <w:t xml:space="preserve">La técnica de injerto gingival libre es considerada el estándar de oro, por ser una técnica óptima para aumentar la extensión del vestíbulo y el ancho del tejido </w:t>
      </w:r>
      <w:proofErr w:type="spellStart"/>
      <w:r w:rsidRPr="00107C8B">
        <w:rPr>
          <w:rFonts w:ascii="Arial" w:hAnsi="Arial" w:cs="Arial"/>
          <w:sz w:val="24"/>
          <w:szCs w:val="24"/>
        </w:rPr>
        <w:t>queratinizado</w:t>
      </w:r>
      <w:proofErr w:type="spellEnd"/>
      <w:r w:rsidRPr="00107C8B">
        <w:rPr>
          <w:rFonts w:ascii="Arial" w:hAnsi="Arial" w:cs="Arial"/>
          <w:sz w:val="24"/>
          <w:szCs w:val="24"/>
        </w:rPr>
        <w:t xml:space="preserve"> y por sus altas tasas de éxito y predictibilidad clínica.</w:t>
      </w:r>
      <w:r>
        <w:rPr>
          <w:rFonts w:ascii="Arial" w:hAnsi="Arial" w:cs="Arial"/>
          <w:sz w:val="24"/>
          <w:szCs w:val="24"/>
        </w:rPr>
        <w:t xml:space="preserve"> Se </w:t>
      </w:r>
      <w:proofErr w:type="gramStart"/>
      <w:r>
        <w:rPr>
          <w:rFonts w:ascii="Arial" w:hAnsi="Arial" w:cs="Arial"/>
          <w:sz w:val="24"/>
          <w:szCs w:val="24"/>
        </w:rPr>
        <w:t>presentó</w:t>
      </w:r>
      <w:proofErr w:type="gramEnd"/>
      <w:r>
        <w:rPr>
          <w:rFonts w:ascii="Arial" w:hAnsi="Arial" w:cs="Arial"/>
          <w:sz w:val="24"/>
          <w:szCs w:val="24"/>
        </w:rPr>
        <w:t xml:space="preserve"> un paciente de 10 años de edad, el cual fue intervenido quirúrgicamente con injerto libre de encía, pues presentaba recesión periodontal en incisivos centrales inferiores asociada a inserción frénica patológica y vestíbulo poco profundo. Con este procedimiento se logró cobertura radicular con incremento del ancho y grosor de encía queratinizada y la eliminación del frenillo de inserción patológica.</w:t>
      </w:r>
    </w:p>
    <w:p w:rsidR="0086724F" w:rsidRDefault="00CD3413" w:rsidP="003034E3">
      <w:pPr>
        <w:spacing w:after="0" w:line="360" w:lineRule="auto"/>
        <w:jc w:val="both"/>
        <w:rPr>
          <w:rFonts w:ascii="Arial" w:hAnsi="Arial" w:cs="Arial"/>
          <w:sz w:val="24"/>
          <w:szCs w:val="24"/>
        </w:rPr>
      </w:pPr>
      <w:proofErr w:type="spellStart"/>
      <w:r>
        <w:rPr>
          <w:rFonts w:ascii="Arial" w:hAnsi="Arial" w:cs="Arial"/>
          <w:sz w:val="24"/>
          <w:szCs w:val="24"/>
        </w:rPr>
        <w:t>DeCs</w:t>
      </w:r>
      <w:proofErr w:type="spellEnd"/>
      <w:r>
        <w:rPr>
          <w:rFonts w:ascii="Arial" w:hAnsi="Arial" w:cs="Arial"/>
          <w:sz w:val="24"/>
          <w:szCs w:val="24"/>
        </w:rPr>
        <w:t>: injerto libre de encía, menor de 19 años</w:t>
      </w:r>
    </w:p>
    <w:p w:rsidR="0086724F" w:rsidRDefault="0086724F" w:rsidP="003034E3">
      <w:pPr>
        <w:spacing w:after="0" w:line="360" w:lineRule="auto"/>
        <w:jc w:val="both"/>
        <w:rPr>
          <w:rFonts w:ascii="Arial" w:hAnsi="Arial" w:cs="Arial"/>
          <w:sz w:val="24"/>
          <w:szCs w:val="24"/>
        </w:rPr>
      </w:pPr>
    </w:p>
    <w:p w:rsidR="0086724F" w:rsidRDefault="0086724F" w:rsidP="003034E3">
      <w:pPr>
        <w:spacing w:after="0" w:line="360" w:lineRule="auto"/>
        <w:jc w:val="both"/>
        <w:rPr>
          <w:rFonts w:ascii="Arial" w:hAnsi="Arial" w:cs="Arial"/>
          <w:sz w:val="24"/>
          <w:szCs w:val="24"/>
        </w:rPr>
      </w:pPr>
    </w:p>
    <w:p w:rsidR="0086724F" w:rsidRDefault="0086724F" w:rsidP="003034E3">
      <w:pPr>
        <w:spacing w:after="0" w:line="360" w:lineRule="auto"/>
        <w:jc w:val="both"/>
        <w:rPr>
          <w:rFonts w:ascii="Arial" w:hAnsi="Arial" w:cs="Arial"/>
          <w:sz w:val="24"/>
          <w:szCs w:val="24"/>
        </w:rPr>
      </w:pPr>
    </w:p>
    <w:p w:rsidR="0086724F" w:rsidRDefault="0086724F" w:rsidP="003034E3">
      <w:pPr>
        <w:spacing w:after="0" w:line="360" w:lineRule="auto"/>
        <w:jc w:val="both"/>
        <w:rPr>
          <w:rFonts w:ascii="Arial" w:hAnsi="Arial" w:cs="Arial"/>
          <w:sz w:val="24"/>
          <w:szCs w:val="24"/>
        </w:rPr>
      </w:pPr>
    </w:p>
    <w:p w:rsidR="0086724F" w:rsidRDefault="0086724F" w:rsidP="003034E3">
      <w:pPr>
        <w:spacing w:after="0" w:line="360" w:lineRule="auto"/>
        <w:jc w:val="both"/>
        <w:rPr>
          <w:rFonts w:ascii="Arial" w:hAnsi="Arial" w:cs="Arial"/>
          <w:sz w:val="24"/>
          <w:szCs w:val="24"/>
        </w:rPr>
      </w:pPr>
    </w:p>
    <w:p w:rsidR="0086724F" w:rsidRDefault="0086724F" w:rsidP="003034E3">
      <w:pPr>
        <w:spacing w:after="0" w:line="360" w:lineRule="auto"/>
        <w:jc w:val="both"/>
        <w:rPr>
          <w:rFonts w:ascii="Arial" w:hAnsi="Arial" w:cs="Arial"/>
          <w:sz w:val="24"/>
          <w:szCs w:val="24"/>
        </w:rPr>
      </w:pPr>
    </w:p>
    <w:p w:rsidR="0086724F" w:rsidRDefault="0086724F" w:rsidP="003034E3">
      <w:pPr>
        <w:spacing w:after="0" w:line="360" w:lineRule="auto"/>
        <w:jc w:val="both"/>
        <w:rPr>
          <w:rFonts w:ascii="Arial" w:hAnsi="Arial" w:cs="Arial"/>
          <w:sz w:val="24"/>
          <w:szCs w:val="24"/>
        </w:rPr>
      </w:pPr>
    </w:p>
    <w:p w:rsidR="0086724F" w:rsidRDefault="0086724F" w:rsidP="003034E3">
      <w:pPr>
        <w:spacing w:after="0" w:line="360" w:lineRule="auto"/>
        <w:jc w:val="both"/>
        <w:rPr>
          <w:rFonts w:ascii="Arial" w:hAnsi="Arial" w:cs="Arial"/>
          <w:sz w:val="24"/>
          <w:szCs w:val="24"/>
        </w:rPr>
      </w:pPr>
    </w:p>
    <w:p w:rsidR="0086724F" w:rsidRDefault="0086724F" w:rsidP="003034E3">
      <w:pPr>
        <w:spacing w:after="0" w:line="360" w:lineRule="auto"/>
        <w:jc w:val="both"/>
        <w:rPr>
          <w:rFonts w:ascii="Arial" w:hAnsi="Arial" w:cs="Arial"/>
          <w:sz w:val="24"/>
          <w:szCs w:val="24"/>
        </w:rPr>
      </w:pPr>
    </w:p>
    <w:p w:rsidR="0086724F" w:rsidRDefault="0086724F" w:rsidP="003034E3">
      <w:pPr>
        <w:spacing w:after="0" w:line="360" w:lineRule="auto"/>
        <w:jc w:val="both"/>
        <w:rPr>
          <w:rFonts w:ascii="Arial" w:hAnsi="Arial" w:cs="Arial"/>
          <w:sz w:val="24"/>
          <w:szCs w:val="24"/>
        </w:rPr>
      </w:pPr>
    </w:p>
    <w:p w:rsidR="0086724F" w:rsidRDefault="0086724F" w:rsidP="003034E3">
      <w:pPr>
        <w:spacing w:after="0" w:line="360" w:lineRule="auto"/>
        <w:jc w:val="both"/>
        <w:rPr>
          <w:rFonts w:ascii="Arial" w:hAnsi="Arial" w:cs="Arial"/>
          <w:sz w:val="24"/>
          <w:szCs w:val="24"/>
        </w:rPr>
      </w:pPr>
    </w:p>
    <w:p w:rsidR="003034E3" w:rsidRPr="00944CD0" w:rsidRDefault="003034E3" w:rsidP="003034E3">
      <w:pPr>
        <w:spacing w:after="0" w:line="360" w:lineRule="auto"/>
        <w:jc w:val="both"/>
        <w:rPr>
          <w:rFonts w:ascii="Arial" w:hAnsi="Arial" w:cs="Arial"/>
          <w:b/>
          <w:sz w:val="24"/>
          <w:szCs w:val="24"/>
          <w:vertAlign w:val="superscript"/>
        </w:rPr>
      </w:pPr>
      <w:r w:rsidRPr="00944CD0">
        <w:rPr>
          <w:rFonts w:ascii="Arial" w:hAnsi="Arial" w:cs="Arial"/>
          <w:sz w:val="24"/>
          <w:szCs w:val="24"/>
        </w:rPr>
        <w:lastRenderedPageBreak/>
        <w:t xml:space="preserve">En el ámbito de la Periodoncia una de las afectaciones que mayor preocupación genera tanto a pacientes como a profesionales, es la recesión periodontal (RP). </w:t>
      </w:r>
      <w:r w:rsidRPr="00944CD0">
        <w:rPr>
          <w:rFonts w:ascii="Arial" w:hAnsi="Arial" w:cs="Arial"/>
          <w:b/>
          <w:sz w:val="24"/>
          <w:szCs w:val="24"/>
          <w:vertAlign w:val="superscript"/>
        </w:rPr>
        <w:t>1</w:t>
      </w:r>
      <w:r w:rsidRPr="00944CD0">
        <w:rPr>
          <w:rFonts w:ascii="Arial" w:hAnsi="Arial" w:cs="Arial"/>
          <w:sz w:val="24"/>
          <w:szCs w:val="24"/>
        </w:rPr>
        <w:t xml:space="preserve"> Se ha definido como un trastorno de instauración lenta, progresiva y destructiva en la cual la encía marginal, de uno o varios dientes, se encuentra apical a la unión cemento esmalte que ocasionalmente involucra a la unión </w:t>
      </w:r>
      <w:proofErr w:type="spellStart"/>
      <w:r w:rsidRPr="00944CD0">
        <w:rPr>
          <w:rFonts w:ascii="Arial" w:hAnsi="Arial" w:cs="Arial"/>
          <w:sz w:val="24"/>
          <w:szCs w:val="24"/>
        </w:rPr>
        <w:t>mucogingival</w:t>
      </w:r>
      <w:proofErr w:type="spellEnd"/>
      <w:r w:rsidRPr="00944CD0">
        <w:rPr>
          <w:rFonts w:ascii="Arial" w:hAnsi="Arial" w:cs="Arial"/>
          <w:sz w:val="24"/>
          <w:szCs w:val="24"/>
        </w:rPr>
        <w:t xml:space="preserve"> y a la mucosa alveolar adyacente.</w:t>
      </w:r>
      <w:r w:rsidRPr="00944CD0">
        <w:rPr>
          <w:rFonts w:ascii="Arial" w:hAnsi="Arial" w:cs="Arial"/>
          <w:b/>
          <w:sz w:val="24"/>
          <w:szCs w:val="24"/>
          <w:vertAlign w:val="superscript"/>
        </w:rPr>
        <w:t>2 ,3</w:t>
      </w:r>
    </w:p>
    <w:p w:rsidR="003034E3" w:rsidRPr="00944CD0" w:rsidRDefault="003034E3" w:rsidP="003034E3">
      <w:pPr>
        <w:spacing w:after="0" w:line="360" w:lineRule="auto"/>
        <w:jc w:val="both"/>
        <w:rPr>
          <w:rFonts w:ascii="Arial" w:hAnsi="Arial" w:cs="Arial"/>
          <w:sz w:val="24"/>
          <w:szCs w:val="24"/>
        </w:rPr>
      </w:pPr>
      <w:r w:rsidRPr="00944CD0">
        <w:rPr>
          <w:rFonts w:ascii="Arial" w:hAnsi="Arial" w:cs="Arial"/>
          <w:sz w:val="24"/>
          <w:szCs w:val="24"/>
        </w:rPr>
        <w:t>La prevalencia de la RP aumenta con la edad; sin embargo, en las últimas décadas, la tendencia es hacia el incremento en edades tempranas de la vida.</w:t>
      </w:r>
      <w:r w:rsidRPr="00944CD0">
        <w:rPr>
          <w:rFonts w:ascii="Arial" w:hAnsi="Arial" w:cs="Arial"/>
          <w:b/>
          <w:sz w:val="24"/>
          <w:szCs w:val="24"/>
          <w:vertAlign w:val="superscript"/>
        </w:rPr>
        <w:t>4</w:t>
      </w:r>
      <w:r w:rsidRPr="00944CD0">
        <w:rPr>
          <w:rFonts w:ascii="Arial" w:hAnsi="Arial" w:cs="Arial"/>
          <w:sz w:val="24"/>
          <w:szCs w:val="24"/>
        </w:rPr>
        <w:t xml:space="preserve">En publicaciones realizadas en Brasil, </w:t>
      </w:r>
      <w:r w:rsidRPr="00944CD0">
        <w:rPr>
          <w:rFonts w:ascii="Arial" w:hAnsi="Arial" w:cs="Arial"/>
          <w:b/>
          <w:sz w:val="24"/>
          <w:szCs w:val="24"/>
          <w:vertAlign w:val="superscript"/>
        </w:rPr>
        <w:t xml:space="preserve">5 </w:t>
      </w:r>
      <w:r w:rsidRPr="00944CD0">
        <w:rPr>
          <w:rFonts w:ascii="Arial" w:hAnsi="Arial" w:cs="Arial"/>
          <w:sz w:val="24"/>
          <w:szCs w:val="24"/>
        </w:rPr>
        <w:t xml:space="preserve">se cita un 63,9 % en las edades promedio de 22,9 años. En Chile, en un estudio llevado a cabo en adolescentes por Amaro y otros, </w:t>
      </w:r>
      <w:r w:rsidRPr="00944CD0">
        <w:rPr>
          <w:rFonts w:ascii="Arial" w:hAnsi="Arial" w:cs="Arial"/>
          <w:b/>
          <w:sz w:val="24"/>
          <w:szCs w:val="24"/>
          <w:vertAlign w:val="superscript"/>
        </w:rPr>
        <w:t>6</w:t>
      </w:r>
      <w:r w:rsidRPr="00944CD0">
        <w:rPr>
          <w:rFonts w:ascii="Arial" w:hAnsi="Arial" w:cs="Arial"/>
          <w:sz w:val="24"/>
          <w:szCs w:val="24"/>
        </w:rPr>
        <w:t xml:space="preserve"> se informa un 68,4 % de prevalencia del trastorno </w:t>
      </w:r>
      <w:proofErr w:type="spellStart"/>
      <w:r w:rsidRPr="00944CD0">
        <w:rPr>
          <w:rFonts w:ascii="Arial" w:hAnsi="Arial" w:cs="Arial"/>
          <w:sz w:val="24"/>
          <w:szCs w:val="24"/>
        </w:rPr>
        <w:t>mucogingival</w:t>
      </w:r>
      <w:proofErr w:type="spellEnd"/>
      <w:r w:rsidRPr="00944CD0">
        <w:rPr>
          <w:rFonts w:ascii="Arial" w:hAnsi="Arial" w:cs="Arial"/>
          <w:sz w:val="24"/>
          <w:szCs w:val="24"/>
        </w:rPr>
        <w:t xml:space="preserve">. En Matanzas, Cuba </w:t>
      </w:r>
      <w:r w:rsidRPr="00944CD0">
        <w:rPr>
          <w:rFonts w:ascii="Arial" w:hAnsi="Arial" w:cs="Arial"/>
          <w:b/>
          <w:sz w:val="24"/>
          <w:szCs w:val="24"/>
          <w:vertAlign w:val="superscript"/>
        </w:rPr>
        <w:t>7</w:t>
      </w:r>
      <w:r w:rsidRPr="00944CD0">
        <w:rPr>
          <w:rFonts w:ascii="Arial" w:hAnsi="Arial" w:cs="Arial"/>
          <w:sz w:val="24"/>
          <w:szCs w:val="24"/>
        </w:rPr>
        <w:t xml:space="preserve">, en un estudio de seguimiento de trastornos </w:t>
      </w:r>
      <w:proofErr w:type="spellStart"/>
      <w:r w:rsidRPr="00944CD0">
        <w:rPr>
          <w:rFonts w:ascii="Arial" w:hAnsi="Arial" w:cs="Arial"/>
          <w:sz w:val="24"/>
          <w:szCs w:val="24"/>
        </w:rPr>
        <w:t>mucogingivales</w:t>
      </w:r>
      <w:proofErr w:type="spellEnd"/>
      <w:r w:rsidRPr="00944CD0">
        <w:rPr>
          <w:rFonts w:ascii="Arial" w:hAnsi="Arial" w:cs="Arial"/>
          <w:sz w:val="24"/>
          <w:szCs w:val="24"/>
        </w:rPr>
        <w:t xml:space="preserve"> se reportan cifras de 40,98 % en el rango comprendido de 15-60 años y se destaca en esta población la afectación en el sexo femenino.</w:t>
      </w:r>
    </w:p>
    <w:p w:rsidR="003034E3" w:rsidRPr="00944CD0" w:rsidRDefault="003034E3" w:rsidP="003034E3">
      <w:pPr>
        <w:spacing w:after="0" w:line="360" w:lineRule="auto"/>
        <w:jc w:val="both"/>
        <w:rPr>
          <w:rFonts w:ascii="Arial" w:hAnsi="Arial" w:cs="Arial"/>
          <w:sz w:val="24"/>
          <w:szCs w:val="24"/>
        </w:rPr>
      </w:pPr>
      <w:r w:rsidRPr="00944CD0">
        <w:rPr>
          <w:rFonts w:ascii="Arial" w:hAnsi="Arial" w:cs="Arial"/>
          <w:sz w:val="24"/>
          <w:szCs w:val="24"/>
        </w:rPr>
        <w:t xml:space="preserve">En un estudio realizado en Villa Clara, </w:t>
      </w:r>
      <w:r w:rsidRPr="00944CD0">
        <w:rPr>
          <w:rFonts w:ascii="Arial" w:hAnsi="Arial" w:cs="Arial"/>
          <w:b/>
          <w:sz w:val="24"/>
          <w:szCs w:val="24"/>
          <w:vertAlign w:val="superscript"/>
        </w:rPr>
        <w:t xml:space="preserve">8 </w:t>
      </w:r>
      <w:r w:rsidRPr="00944CD0">
        <w:rPr>
          <w:rFonts w:ascii="Arial" w:hAnsi="Arial" w:cs="Arial"/>
          <w:sz w:val="24"/>
          <w:szCs w:val="24"/>
        </w:rPr>
        <w:t>se reporta un incremento de la RP en niños entre siete y 11 años de edad, lo que orienta el tratamiento de este trastorno desde la infancia y la adolescencia a fin de evitar futuras complicaciones que pueden comprometer la permanencia del diente en la boca.</w:t>
      </w:r>
    </w:p>
    <w:p w:rsidR="003034E3" w:rsidRPr="00944CD0" w:rsidRDefault="003034E3" w:rsidP="003034E3">
      <w:pPr>
        <w:spacing w:after="0" w:line="360" w:lineRule="auto"/>
        <w:jc w:val="both"/>
        <w:rPr>
          <w:rFonts w:ascii="Arial" w:hAnsi="Arial" w:cs="Arial"/>
          <w:sz w:val="24"/>
          <w:szCs w:val="24"/>
        </w:rPr>
      </w:pPr>
      <w:r w:rsidRPr="00944CD0">
        <w:rPr>
          <w:rFonts w:ascii="Arial" w:hAnsi="Arial" w:cs="Arial"/>
          <w:sz w:val="24"/>
          <w:szCs w:val="24"/>
        </w:rPr>
        <w:t xml:space="preserve">El abordaje quirúrgico de las RP constituye el tratamiento que durante varios años se ha desarrollado para intentar el logro de la cobertura de las raíces expuestas. Inicialmente conocido como cirugía </w:t>
      </w:r>
      <w:proofErr w:type="spellStart"/>
      <w:r w:rsidRPr="00944CD0">
        <w:rPr>
          <w:rFonts w:ascii="Arial" w:hAnsi="Arial" w:cs="Arial"/>
          <w:sz w:val="24"/>
          <w:szCs w:val="24"/>
        </w:rPr>
        <w:t>mucogingival</w:t>
      </w:r>
      <w:proofErr w:type="spellEnd"/>
      <w:r w:rsidRPr="00944CD0">
        <w:rPr>
          <w:rFonts w:ascii="Arial" w:hAnsi="Arial" w:cs="Arial"/>
          <w:sz w:val="24"/>
          <w:szCs w:val="24"/>
        </w:rPr>
        <w:t xml:space="preserve"> y en la actualidad como cirugía plástica periodontal o periodontal estética, son procedimientos que intentan reposicionar los tejidos lo más aproximado a su ubicación inicial con respecto a límite </w:t>
      </w:r>
      <w:proofErr w:type="spellStart"/>
      <w:r w:rsidRPr="00944CD0">
        <w:rPr>
          <w:rFonts w:ascii="Arial" w:hAnsi="Arial" w:cs="Arial"/>
          <w:sz w:val="24"/>
          <w:szCs w:val="24"/>
        </w:rPr>
        <w:t>amelocementario</w:t>
      </w:r>
      <w:proofErr w:type="spellEnd"/>
      <w:r w:rsidRPr="00944CD0">
        <w:rPr>
          <w:rFonts w:ascii="Arial" w:hAnsi="Arial" w:cs="Arial"/>
          <w:sz w:val="24"/>
          <w:szCs w:val="24"/>
        </w:rPr>
        <w:t xml:space="preserve"> (LAC), además del incremento de la encía insertada, la cual constituye un elemento de vital importancia en el progreso de estas lesiones.</w:t>
      </w:r>
      <w:r w:rsidR="003B0830" w:rsidRPr="00944CD0">
        <w:rPr>
          <w:rFonts w:ascii="Arial" w:hAnsi="Arial" w:cs="Arial"/>
          <w:sz w:val="24"/>
          <w:szCs w:val="24"/>
        </w:rPr>
        <w:t xml:space="preserve"> </w:t>
      </w:r>
      <w:r w:rsidR="003B0830" w:rsidRPr="003B0830">
        <w:rPr>
          <w:rFonts w:ascii="Arial" w:hAnsi="Arial" w:cs="Arial"/>
          <w:b/>
          <w:sz w:val="24"/>
          <w:szCs w:val="24"/>
          <w:vertAlign w:val="superscript"/>
        </w:rPr>
        <w:t>2</w:t>
      </w:r>
      <w:proofErr w:type="gramStart"/>
      <w:r w:rsidR="003B0830" w:rsidRPr="003B0830">
        <w:rPr>
          <w:rFonts w:ascii="Arial" w:hAnsi="Arial" w:cs="Arial"/>
          <w:b/>
          <w:sz w:val="24"/>
          <w:szCs w:val="24"/>
          <w:vertAlign w:val="superscript"/>
        </w:rPr>
        <w:t>;9</w:t>
      </w:r>
      <w:proofErr w:type="gramEnd"/>
      <w:r w:rsidR="003B0830" w:rsidRPr="003B0830">
        <w:rPr>
          <w:rFonts w:ascii="Arial" w:hAnsi="Arial" w:cs="Arial"/>
          <w:b/>
          <w:sz w:val="24"/>
          <w:szCs w:val="24"/>
          <w:vertAlign w:val="superscript"/>
        </w:rPr>
        <w:t>;10</w:t>
      </w:r>
    </w:p>
    <w:p w:rsidR="00107C8B" w:rsidRDefault="003034E3" w:rsidP="00107C8B">
      <w:pPr>
        <w:spacing w:after="0" w:line="360" w:lineRule="auto"/>
        <w:jc w:val="both"/>
        <w:rPr>
          <w:rFonts w:ascii="Arial" w:hAnsi="Arial" w:cs="Arial"/>
          <w:sz w:val="24"/>
          <w:szCs w:val="24"/>
        </w:rPr>
      </w:pPr>
      <w:r w:rsidRPr="00944CD0">
        <w:rPr>
          <w:rFonts w:ascii="Arial" w:hAnsi="Arial" w:cs="Arial"/>
          <w:sz w:val="24"/>
          <w:szCs w:val="24"/>
        </w:rPr>
        <w:t>La cobertura de la superficie radicular expuesta, el incremento de la encía insertada y un resultado estético favorable constituyen el objetivo fundamental de las diferentes técnicas de injertos.</w:t>
      </w:r>
      <w:r w:rsidR="003B0830" w:rsidRPr="003B0830">
        <w:rPr>
          <w:rFonts w:ascii="Arial" w:hAnsi="Arial" w:cs="Arial"/>
          <w:b/>
          <w:sz w:val="24"/>
          <w:szCs w:val="24"/>
          <w:vertAlign w:val="superscript"/>
        </w:rPr>
        <w:t>9</w:t>
      </w:r>
    </w:p>
    <w:p w:rsidR="003034E3" w:rsidRPr="00107C8B" w:rsidRDefault="003034E3" w:rsidP="00107C8B">
      <w:pPr>
        <w:spacing w:after="0" w:line="360" w:lineRule="auto"/>
        <w:jc w:val="both"/>
        <w:rPr>
          <w:rFonts w:ascii="Arial" w:hAnsi="Arial" w:cs="Arial"/>
          <w:sz w:val="24"/>
          <w:szCs w:val="24"/>
        </w:rPr>
      </w:pPr>
      <w:r w:rsidRPr="00107C8B">
        <w:rPr>
          <w:rFonts w:ascii="Arial" w:hAnsi="Arial" w:cs="Arial"/>
        </w:rPr>
        <w:t>Los dientes anteriores inferiores, debido a sus factores anatómicos, como el biotipo gingival con cantidades delgadas o inexistentes de encía queratinizada, profundidad del vestíbulo poco profundo y la alta inserción del frenillo, están más expuestos a mayores desafíos para su tratamiento.</w:t>
      </w:r>
      <w:r w:rsidR="00107C8B">
        <w:rPr>
          <w:rFonts w:ascii="Arial" w:hAnsi="Arial" w:cs="Arial"/>
        </w:rPr>
        <w:t xml:space="preserve"> </w:t>
      </w:r>
      <w:r w:rsidRPr="00107C8B">
        <w:rPr>
          <w:rFonts w:ascii="Arial" w:hAnsi="Arial" w:cs="Arial"/>
        </w:rPr>
        <w:t xml:space="preserve">Por otro lado, la ausencia de una dimensión adecuada de tejido queratinizado cerca de la zona de defecto puede ser una limitación para el </w:t>
      </w:r>
      <w:r w:rsidRPr="00107C8B">
        <w:rPr>
          <w:rFonts w:ascii="Arial" w:hAnsi="Arial" w:cs="Arial"/>
        </w:rPr>
        <w:lastRenderedPageBreak/>
        <w:t>desplazamiento coronal o lateral de los colgajos. En estos casos de falta de tejido múltiple de encía queratinizada, el injerto gingival libre es el procedimiento de elección</w:t>
      </w:r>
      <w:r w:rsidR="00F431B2" w:rsidRPr="00107C8B">
        <w:rPr>
          <w:rFonts w:ascii="Arial" w:hAnsi="Arial" w:cs="Arial"/>
        </w:rPr>
        <w:t>, esto</w:t>
      </w:r>
      <w:r w:rsidRPr="00107C8B">
        <w:rPr>
          <w:rFonts w:ascii="Arial" w:hAnsi="Arial" w:cs="Arial"/>
        </w:rPr>
        <w:t xml:space="preserve"> debido a que se requiere un injerto que implique una movilizaci</w:t>
      </w:r>
      <w:bookmarkStart w:id="0" w:name="_GoBack"/>
      <w:bookmarkEnd w:id="0"/>
      <w:r w:rsidRPr="00107C8B">
        <w:rPr>
          <w:rFonts w:ascii="Arial" w:hAnsi="Arial" w:cs="Arial"/>
        </w:rPr>
        <w:t xml:space="preserve">ón mínima de la unión mucogingival y que no se encuentre influenciada por </w:t>
      </w:r>
      <w:proofErr w:type="gramStart"/>
      <w:r w:rsidRPr="00107C8B">
        <w:rPr>
          <w:rFonts w:ascii="Arial" w:hAnsi="Arial" w:cs="Arial"/>
        </w:rPr>
        <w:t>la tensiones musculares</w:t>
      </w:r>
      <w:proofErr w:type="gramEnd"/>
      <w:r w:rsidRPr="00107C8B">
        <w:rPr>
          <w:rFonts w:ascii="Arial" w:hAnsi="Arial" w:cs="Arial"/>
        </w:rPr>
        <w:t xml:space="preserve"> o movimiento de la mucosa adyacente. </w:t>
      </w:r>
      <w:r w:rsidRPr="00107C8B">
        <w:rPr>
          <w:rFonts w:ascii="Arial" w:hAnsi="Arial" w:cs="Arial"/>
          <w:sz w:val="24"/>
          <w:szCs w:val="24"/>
        </w:rPr>
        <w:t xml:space="preserve">La técnica de injerto gingival libre es considerada el estándar de oro, por ser una técnica óptima para aumentar la extensión del vestíbulo y el ancho del tejido </w:t>
      </w:r>
      <w:proofErr w:type="spellStart"/>
      <w:r w:rsidRPr="00107C8B">
        <w:rPr>
          <w:rFonts w:ascii="Arial" w:hAnsi="Arial" w:cs="Arial"/>
          <w:sz w:val="24"/>
          <w:szCs w:val="24"/>
        </w:rPr>
        <w:t>queratinizado</w:t>
      </w:r>
      <w:proofErr w:type="spellEnd"/>
      <w:r w:rsidRPr="00107C8B">
        <w:rPr>
          <w:rFonts w:ascii="Arial" w:hAnsi="Arial" w:cs="Arial"/>
          <w:sz w:val="24"/>
          <w:szCs w:val="24"/>
        </w:rPr>
        <w:t xml:space="preserve"> y por sus altas tasas de éxito y predictibilidad clínica.</w:t>
      </w:r>
      <w:r w:rsidR="00107C8B">
        <w:rPr>
          <w:rFonts w:ascii="Arial" w:hAnsi="Arial" w:cs="Arial"/>
        </w:rPr>
        <w:t xml:space="preserve"> </w:t>
      </w:r>
      <w:hyperlink r:id="rId5" w:anchor="B7" w:history="1">
        <w:r w:rsidR="00107C8B" w:rsidRPr="00107C8B">
          <w:rPr>
            <w:rStyle w:val="Hipervnculo"/>
            <w:rFonts w:ascii="Arial" w:hAnsi="Arial" w:cs="Arial"/>
            <w:b/>
            <w:color w:val="auto"/>
            <w:u w:val="none"/>
            <w:vertAlign w:val="superscript"/>
          </w:rPr>
          <w:t>3</w:t>
        </w:r>
      </w:hyperlink>
    </w:p>
    <w:p w:rsidR="00DB5252" w:rsidRDefault="002216B9" w:rsidP="002216B9">
      <w:pPr>
        <w:spacing w:after="0" w:line="360" w:lineRule="auto"/>
        <w:jc w:val="both"/>
        <w:rPr>
          <w:rFonts w:ascii="Arial" w:hAnsi="Arial" w:cs="Arial"/>
          <w:sz w:val="24"/>
          <w:szCs w:val="24"/>
        </w:rPr>
      </w:pPr>
      <w:r w:rsidRPr="002216B9">
        <w:rPr>
          <w:rFonts w:ascii="Arial" w:hAnsi="Arial" w:cs="Arial"/>
          <w:sz w:val="24"/>
          <w:szCs w:val="24"/>
        </w:rPr>
        <w:t>Cuando de aumentar el ancho de la encía queratinizada y reposicionar inserciones musculares se trata, el injerto libre de encía es de elección. Por ello, se presenta el siguiente paciente, en el que se empleó este procedimiento quirúrgico.</w:t>
      </w:r>
    </w:p>
    <w:p w:rsidR="002216B9" w:rsidRPr="00F06A5A" w:rsidRDefault="00F06A5A" w:rsidP="002216B9">
      <w:pPr>
        <w:spacing w:after="0" w:line="360" w:lineRule="auto"/>
        <w:jc w:val="both"/>
        <w:rPr>
          <w:rFonts w:ascii="Arial" w:hAnsi="Arial" w:cs="Arial"/>
          <w:b/>
          <w:sz w:val="24"/>
          <w:szCs w:val="24"/>
        </w:rPr>
      </w:pPr>
      <w:r w:rsidRPr="00F06A5A">
        <w:rPr>
          <w:rFonts w:ascii="Arial" w:hAnsi="Arial" w:cs="Arial"/>
          <w:b/>
          <w:sz w:val="24"/>
          <w:szCs w:val="24"/>
        </w:rPr>
        <w:t>Presentación</w:t>
      </w:r>
      <w:r w:rsidR="002216B9" w:rsidRPr="00F06A5A">
        <w:rPr>
          <w:rFonts w:ascii="Arial" w:hAnsi="Arial" w:cs="Arial"/>
          <w:b/>
          <w:sz w:val="24"/>
          <w:szCs w:val="24"/>
        </w:rPr>
        <w:t xml:space="preserve"> de</w:t>
      </w:r>
      <w:r w:rsidRPr="00F06A5A">
        <w:rPr>
          <w:rFonts w:ascii="Arial" w:hAnsi="Arial" w:cs="Arial"/>
          <w:b/>
          <w:sz w:val="24"/>
          <w:szCs w:val="24"/>
        </w:rPr>
        <w:t>l paciente</w:t>
      </w:r>
    </w:p>
    <w:p w:rsidR="00F06A5A" w:rsidRDefault="00F06A5A" w:rsidP="002216B9">
      <w:pPr>
        <w:spacing w:after="0" w:line="360" w:lineRule="auto"/>
        <w:jc w:val="both"/>
        <w:rPr>
          <w:rFonts w:ascii="Arial" w:hAnsi="Arial" w:cs="Arial"/>
          <w:sz w:val="24"/>
          <w:szCs w:val="24"/>
        </w:rPr>
      </w:pPr>
      <w:r>
        <w:rPr>
          <w:rFonts w:ascii="Arial" w:hAnsi="Arial" w:cs="Arial"/>
          <w:sz w:val="24"/>
          <w:szCs w:val="24"/>
        </w:rPr>
        <w:t>Paciente de 10 años de edad, sexo masculino, con antecedentes de salud, el cual acude a consulta con sus padres al referir preocupación</w:t>
      </w:r>
      <w:r w:rsidR="00E87229">
        <w:rPr>
          <w:rFonts w:ascii="Arial" w:hAnsi="Arial" w:cs="Arial"/>
          <w:sz w:val="24"/>
          <w:szCs w:val="24"/>
        </w:rPr>
        <w:t xml:space="preserve"> por “separación de la encía de un diente”. Al realizar el examen clínico, se observa recesión periodontal en 31 y 41</w:t>
      </w:r>
      <w:r w:rsidR="002C5205">
        <w:rPr>
          <w:rFonts w:ascii="Arial" w:hAnsi="Arial" w:cs="Arial"/>
          <w:sz w:val="24"/>
          <w:szCs w:val="24"/>
        </w:rPr>
        <w:t>(Figura 1)</w:t>
      </w:r>
      <w:r w:rsidR="00E87229">
        <w:rPr>
          <w:rFonts w:ascii="Arial" w:hAnsi="Arial" w:cs="Arial"/>
          <w:sz w:val="24"/>
          <w:szCs w:val="24"/>
        </w:rPr>
        <w:t xml:space="preserve"> que concomitaban con frenillo de inserción </w:t>
      </w:r>
      <w:r w:rsidR="00BD169D">
        <w:rPr>
          <w:rFonts w:ascii="Arial" w:hAnsi="Arial" w:cs="Arial"/>
          <w:sz w:val="24"/>
          <w:szCs w:val="24"/>
        </w:rPr>
        <w:t>patológica en la zona e inadecuada cantidad de encía insertada en la mencionada región. Se constató la ausencia de bolsas periodontales y al examen radiográfico no existían pérdidas óseas.</w:t>
      </w:r>
    </w:p>
    <w:p w:rsidR="002C5205" w:rsidRDefault="002C5205" w:rsidP="002216B9">
      <w:pPr>
        <w:spacing w:after="0" w:line="360" w:lineRule="auto"/>
        <w:jc w:val="both"/>
        <w:rPr>
          <w:rFonts w:ascii="Arial" w:hAnsi="Arial" w:cs="Arial"/>
          <w:sz w:val="24"/>
          <w:szCs w:val="24"/>
        </w:rPr>
      </w:pPr>
      <w:r w:rsidRPr="002C5205">
        <w:rPr>
          <w:rFonts w:ascii="Arial" w:hAnsi="Arial" w:cs="Arial"/>
          <w:noProof/>
          <w:sz w:val="24"/>
          <w:szCs w:val="24"/>
          <w:lang w:val="es-MX" w:eastAsia="es-MX"/>
        </w:rPr>
        <w:drawing>
          <wp:inline distT="0" distB="0" distL="0" distR="0">
            <wp:extent cx="1504950" cy="1133475"/>
            <wp:effectExtent l="0" t="0" r="0" b="9525"/>
            <wp:docPr id="1" name="Imagen 1" descr="D:\Posgrado\presentacion de caso tesis maestria\IMG-20230922-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osgrado\presentacion de caso tesis maestria\IMG-20230922-WA000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2438" cy="1139115"/>
                    </a:xfrm>
                    <a:prstGeom prst="rect">
                      <a:avLst/>
                    </a:prstGeom>
                    <a:noFill/>
                    <a:ln>
                      <a:noFill/>
                    </a:ln>
                  </pic:spPr>
                </pic:pic>
              </a:graphicData>
            </a:graphic>
          </wp:inline>
        </w:drawing>
      </w:r>
    </w:p>
    <w:p w:rsidR="002C5205" w:rsidRPr="002C5205" w:rsidRDefault="002C5205" w:rsidP="002216B9">
      <w:pPr>
        <w:spacing w:after="0" w:line="360" w:lineRule="auto"/>
        <w:jc w:val="both"/>
        <w:rPr>
          <w:rFonts w:ascii="Arial" w:hAnsi="Arial" w:cs="Arial"/>
          <w:b/>
        </w:rPr>
      </w:pPr>
      <w:r>
        <w:rPr>
          <w:rFonts w:ascii="Arial" w:hAnsi="Arial" w:cs="Arial"/>
          <w:b/>
          <w:sz w:val="24"/>
          <w:szCs w:val="24"/>
        </w:rPr>
        <w:t xml:space="preserve">  </w:t>
      </w:r>
      <w:r w:rsidRPr="002C5205">
        <w:rPr>
          <w:rFonts w:ascii="Arial" w:hAnsi="Arial" w:cs="Arial"/>
          <w:b/>
        </w:rPr>
        <w:t>Figura 1. Recesión periodontal en incisivos centrales inferiores</w:t>
      </w:r>
    </w:p>
    <w:p w:rsidR="00E87229" w:rsidRDefault="00BD169D" w:rsidP="002216B9">
      <w:pPr>
        <w:spacing w:after="0" w:line="360" w:lineRule="auto"/>
        <w:jc w:val="both"/>
        <w:rPr>
          <w:rFonts w:ascii="Arial" w:hAnsi="Arial" w:cs="Arial"/>
          <w:sz w:val="24"/>
          <w:szCs w:val="24"/>
        </w:rPr>
      </w:pPr>
      <w:r>
        <w:rPr>
          <w:rFonts w:ascii="Arial" w:hAnsi="Arial" w:cs="Arial"/>
          <w:sz w:val="24"/>
          <w:szCs w:val="24"/>
        </w:rPr>
        <w:t>Los exámenes complementarios realizados se encontraron en parámetros normales: Hemograma completo: Hb</w:t>
      </w:r>
      <w:proofErr w:type="gramStart"/>
      <w:r>
        <w:rPr>
          <w:rFonts w:ascii="Arial" w:hAnsi="Arial" w:cs="Arial"/>
          <w:sz w:val="24"/>
          <w:szCs w:val="24"/>
        </w:rPr>
        <w:t>:128g</w:t>
      </w:r>
      <w:proofErr w:type="gramEnd"/>
      <w:r>
        <w:rPr>
          <w:rFonts w:ascii="Arial" w:hAnsi="Arial" w:cs="Arial"/>
          <w:sz w:val="24"/>
          <w:szCs w:val="24"/>
        </w:rPr>
        <w:t>/l, leucocitos 8,0</w:t>
      </w:r>
      <w:r w:rsidR="00A123AF">
        <w:rPr>
          <w:rFonts w:ascii="Arial" w:hAnsi="Arial" w:cs="Arial"/>
          <w:sz w:val="24"/>
          <w:szCs w:val="24"/>
        </w:rPr>
        <w:t xml:space="preserve"> x 10</w:t>
      </w:r>
      <w:r w:rsidRPr="00BD169D">
        <w:rPr>
          <w:rFonts w:ascii="Arial" w:hAnsi="Arial" w:cs="Arial"/>
          <w:sz w:val="24"/>
          <w:szCs w:val="24"/>
          <w:vertAlign w:val="superscript"/>
        </w:rPr>
        <w:t>9</w:t>
      </w:r>
      <w:r>
        <w:rPr>
          <w:rFonts w:ascii="Arial" w:hAnsi="Arial" w:cs="Arial"/>
          <w:sz w:val="24"/>
          <w:szCs w:val="24"/>
          <w:vertAlign w:val="superscript"/>
        </w:rPr>
        <w:t xml:space="preserve"> </w:t>
      </w:r>
      <w:r>
        <w:rPr>
          <w:rFonts w:ascii="Arial" w:hAnsi="Arial" w:cs="Arial"/>
          <w:sz w:val="24"/>
          <w:szCs w:val="24"/>
        </w:rPr>
        <w:t xml:space="preserve"> </w:t>
      </w:r>
      <w:proofErr w:type="spellStart"/>
      <w:r>
        <w:rPr>
          <w:rFonts w:ascii="Arial" w:hAnsi="Arial" w:cs="Arial"/>
          <w:sz w:val="24"/>
          <w:szCs w:val="24"/>
        </w:rPr>
        <w:t>polim</w:t>
      </w:r>
      <w:r w:rsidR="00E77BDC">
        <w:rPr>
          <w:rFonts w:ascii="Arial" w:hAnsi="Arial" w:cs="Arial"/>
          <w:sz w:val="24"/>
          <w:szCs w:val="24"/>
        </w:rPr>
        <w:t>o</w:t>
      </w:r>
      <w:r>
        <w:rPr>
          <w:rFonts w:ascii="Arial" w:hAnsi="Arial" w:cs="Arial"/>
          <w:sz w:val="24"/>
          <w:szCs w:val="24"/>
        </w:rPr>
        <w:t>rfonucleares</w:t>
      </w:r>
      <w:proofErr w:type="spellEnd"/>
      <w:r>
        <w:rPr>
          <w:rFonts w:ascii="Arial" w:hAnsi="Arial" w:cs="Arial"/>
          <w:sz w:val="24"/>
          <w:szCs w:val="24"/>
        </w:rPr>
        <w:t xml:space="preserve">: 0,52; linfocitos : 0,48. </w:t>
      </w:r>
      <w:proofErr w:type="spellStart"/>
      <w:r>
        <w:rPr>
          <w:rFonts w:ascii="Arial" w:hAnsi="Arial" w:cs="Arial"/>
          <w:sz w:val="24"/>
          <w:szCs w:val="24"/>
        </w:rPr>
        <w:t>Coagulograma</w:t>
      </w:r>
      <w:proofErr w:type="spellEnd"/>
      <w:r>
        <w:rPr>
          <w:rFonts w:ascii="Arial" w:hAnsi="Arial" w:cs="Arial"/>
          <w:sz w:val="24"/>
          <w:szCs w:val="24"/>
        </w:rPr>
        <w:t xml:space="preserve">: tiempo de coagulación: </w:t>
      </w:r>
      <w:r w:rsidR="00A123AF">
        <w:rPr>
          <w:rFonts w:ascii="Arial" w:hAnsi="Arial" w:cs="Arial"/>
          <w:sz w:val="24"/>
          <w:szCs w:val="24"/>
        </w:rPr>
        <w:t>7 min, tiempo de sangramiento: 1 min, plaquetas: 290x 10</w:t>
      </w:r>
      <w:r w:rsidR="00A123AF" w:rsidRPr="00A123AF">
        <w:rPr>
          <w:rFonts w:ascii="Arial" w:hAnsi="Arial" w:cs="Arial"/>
          <w:sz w:val="24"/>
          <w:szCs w:val="24"/>
          <w:vertAlign w:val="superscript"/>
        </w:rPr>
        <w:t>9</w:t>
      </w:r>
      <w:r w:rsidR="00A123AF">
        <w:rPr>
          <w:rFonts w:ascii="Arial" w:hAnsi="Arial" w:cs="Arial"/>
          <w:sz w:val="24"/>
          <w:szCs w:val="24"/>
        </w:rPr>
        <w:t>.</w:t>
      </w:r>
    </w:p>
    <w:p w:rsidR="00A123AF" w:rsidRDefault="00A123AF" w:rsidP="002216B9">
      <w:pPr>
        <w:spacing w:after="0" w:line="360" w:lineRule="auto"/>
        <w:jc w:val="both"/>
        <w:rPr>
          <w:rFonts w:ascii="Arial" w:hAnsi="Arial" w:cs="Arial"/>
          <w:sz w:val="24"/>
          <w:szCs w:val="24"/>
        </w:rPr>
      </w:pPr>
      <w:r>
        <w:rPr>
          <w:rFonts w:ascii="Arial" w:hAnsi="Arial" w:cs="Arial"/>
          <w:sz w:val="24"/>
          <w:szCs w:val="24"/>
        </w:rPr>
        <w:t>Luego de la fase inicial controlando la pl</w:t>
      </w:r>
      <w:r w:rsidR="00331AA2">
        <w:rPr>
          <w:rFonts w:ascii="Arial" w:hAnsi="Arial" w:cs="Arial"/>
          <w:sz w:val="24"/>
          <w:szCs w:val="24"/>
        </w:rPr>
        <w:t>a</w:t>
      </w:r>
      <w:r>
        <w:rPr>
          <w:rFonts w:ascii="Arial" w:hAnsi="Arial" w:cs="Arial"/>
          <w:sz w:val="24"/>
          <w:szCs w:val="24"/>
        </w:rPr>
        <w:t xml:space="preserve">ca </w:t>
      </w:r>
      <w:r w:rsidR="00331AA2">
        <w:rPr>
          <w:rFonts w:ascii="Arial" w:hAnsi="Arial" w:cs="Arial"/>
          <w:sz w:val="24"/>
          <w:szCs w:val="24"/>
        </w:rPr>
        <w:t>dentobacteriana</w:t>
      </w:r>
      <w:r>
        <w:rPr>
          <w:rFonts w:ascii="Arial" w:hAnsi="Arial" w:cs="Arial"/>
          <w:sz w:val="24"/>
          <w:szCs w:val="24"/>
        </w:rPr>
        <w:t xml:space="preserve"> y </w:t>
      </w:r>
      <w:r w:rsidR="00331AA2">
        <w:rPr>
          <w:rFonts w:ascii="Arial" w:hAnsi="Arial" w:cs="Arial"/>
          <w:sz w:val="24"/>
          <w:szCs w:val="24"/>
        </w:rPr>
        <w:t>demás</w:t>
      </w:r>
      <w:r>
        <w:rPr>
          <w:rFonts w:ascii="Arial" w:hAnsi="Arial" w:cs="Arial"/>
          <w:sz w:val="24"/>
          <w:szCs w:val="24"/>
        </w:rPr>
        <w:t xml:space="preserve"> irritantes locales se </w:t>
      </w:r>
      <w:r w:rsidR="00331AA2">
        <w:rPr>
          <w:rFonts w:ascii="Arial" w:hAnsi="Arial" w:cs="Arial"/>
          <w:sz w:val="24"/>
          <w:szCs w:val="24"/>
        </w:rPr>
        <w:t>procedió</w:t>
      </w:r>
      <w:r>
        <w:rPr>
          <w:rFonts w:ascii="Arial" w:hAnsi="Arial" w:cs="Arial"/>
          <w:sz w:val="24"/>
          <w:szCs w:val="24"/>
        </w:rPr>
        <w:t xml:space="preserve"> a </w:t>
      </w:r>
      <w:r w:rsidR="00331AA2">
        <w:rPr>
          <w:rFonts w:ascii="Arial" w:hAnsi="Arial" w:cs="Arial"/>
          <w:sz w:val="24"/>
          <w:szCs w:val="24"/>
        </w:rPr>
        <w:t>l</w:t>
      </w:r>
      <w:r>
        <w:rPr>
          <w:rFonts w:ascii="Arial" w:hAnsi="Arial" w:cs="Arial"/>
          <w:sz w:val="24"/>
          <w:szCs w:val="24"/>
        </w:rPr>
        <w:t xml:space="preserve">a fase quirúrgica eliminando el frenillo de </w:t>
      </w:r>
      <w:r w:rsidR="00331AA2">
        <w:rPr>
          <w:rFonts w:ascii="Arial" w:hAnsi="Arial" w:cs="Arial"/>
          <w:sz w:val="24"/>
          <w:szCs w:val="24"/>
        </w:rPr>
        <w:t>inserción</w:t>
      </w:r>
      <w:r>
        <w:rPr>
          <w:rFonts w:ascii="Arial" w:hAnsi="Arial" w:cs="Arial"/>
          <w:sz w:val="24"/>
          <w:szCs w:val="24"/>
        </w:rPr>
        <w:t xml:space="preserve"> patológica mediante una </w:t>
      </w:r>
      <w:r w:rsidR="00331AA2">
        <w:rPr>
          <w:rFonts w:ascii="Arial" w:hAnsi="Arial" w:cs="Arial"/>
          <w:sz w:val="24"/>
          <w:szCs w:val="24"/>
        </w:rPr>
        <w:t>frenotomía</w:t>
      </w:r>
      <w:r>
        <w:rPr>
          <w:rFonts w:ascii="Arial" w:hAnsi="Arial" w:cs="Arial"/>
          <w:sz w:val="24"/>
          <w:szCs w:val="24"/>
        </w:rPr>
        <w:t xml:space="preserve"> labial inferior. Posteriormente, se prepara</w:t>
      </w:r>
      <w:r w:rsidR="00331AA2">
        <w:rPr>
          <w:rFonts w:ascii="Arial" w:hAnsi="Arial" w:cs="Arial"/>
          <w:sz w:val="24"/>
          <w:szCs w:val="24"/>
        </w:rPr>
        <w:t>ron las superficies radiculares mediante minucioso</w:t>
      </w:r>
      <w:r>
        <w:rPr>
          <w:rFonts w:ascii="Arial" w:hAnsi="Arial" w:cs="Arial"/>
          <w:sz w:val="24"/>
          <w:szCs w:val="24"/>
        </w:rPr>
        <w:t xml:space="preserve"> </w:t>
      </w:r>
      <w:r w:rsidR="00331AA2">
        <w:rPr>
          <w:rFonts w:ascii="Arial" w:hAnsi="Arial" w:cs="Arial"/>
          <w:sz w:val="24"/>
          <w:szCs w:val="24"/>
        </w:rPr>
        <w:t>raspado</w:t>
      </w:r>
      <w:r>
        <w:rPr>
          <w:rFonts w:ascii="Arial" w:hAnsi="Arial" w:cs="Arial"/>
          <w:sz w:val="24"/>
          <w:szCs w:val="24"/>
        </w:rPr>
        <w:t xml:space="preserve"> y </w:t>
      </w:r>
      <w:r w:rsidR="00331AA2">
        <w:rPr>
          <w:rFonts w:ascii="Arial" w:hAnsi="Arial" w:cs="Arial"/>
          <w:sz w:val="24"/>
          <w:szCs w:val="24"/>
        </w:rPr>
        <w:t xml:space="preserve">alisado; </w:t>
      </w:r>
      <w:r w:rsidR="00331AA2">
        <w:rPr>
          <w:rFonts w:ascii="Arial" w:hAnsi="Arial" w:cs="Arial"/>
          <w:sz w:val="24"/>
          <w:szCs w:val="24"/>
        </w:rPr>
        <w:lastRenderedPageBreak/>
        <w:t>luego</w:t>
      </w:r>
      <w:r>
        <w:rPr>
          <w:rFonts w:ascii="Arial" w:hAnsi="Arial" w:cs="Arial"/>
          <w:sz w:val="24"/>
          <w:szCs w:val="24"/>
        </w:rPr>
        <w:t xml:space="preserve"> se </w:t>
      </w:r>
      <w:r w:rsidR="00331AA2">
        <w:rPr>
          <w:rFonts w:ascii="Arial" w:hAnsi="Arial" w:cs="Arial"/>
          <w:sz w:val="24"/>
          <w:szCs w:val="24"/>
        </w:rPr>
        <w:t>diseñó</w:t>
      </w:r>
      <w:r>
        <w:rPr>
          <w:rFonts w:ascii="Arial" w:hAnsi="Arial" w:cs="Arial"/>
          <w:sz w:val="24"/>
          <w:szCs w:val="24"/>
        </w:rPr>
        <w:t xml:space="preserve"> un co</w:t>
      </w:r>
      <w:r w:rsidR="00331AA2">
        <w:rPr>
          <w:rFonts w:ascii="Arial" w:hAnsi="Arial" w:cs="Arial"/>
          <w:sz w:val="24"/>
          <w:szCs w:val="24"/>
        </w:rPr>
        <w:t>l</w:t>
      </w:r>
      <w:r>
        <w:rPr>
          <w:rFonts w:ascii="Arial" w:hAnsi="Arial" w:cs="Arial"/>
          <w:sz w:val="24"/>
          <w:szCs w:val="24"/>
        </w:rPr>
        <w:t xml:space="preserve">gajo de espesor parcial de la zona en </w:t>
      </w:r>
      <w:proofErr w:type="gramStart"/>
      <w:r>
        <w:rPr>
          <w:rFonts w:ascii="Arial" w:hAnsi="Arial" w:cs="Arial"/>
          <w:sz w:val="24"/>
          <w:szCs w:val="24"/>
        </w:rPr>
        <w:t>cuestión</w:t>
      </w:r>
      <w:r w:rsidR="00F431B2">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 xml:space="preserve"> Se </w:t>
      </w:r>
      <w:r w:rsidR="00331AA2">
        <w:rPr>
          <w:rFonts w:ascii="Arial" w:hAnsi="Arial" w:cs="Arial"/>
          <w:sz w:val="24"/>
          <w:szCs w:val="24"/>
        </w:rPr>
        <w:t>confeccionó</w:t>
      </w:r>
      <w:r>
        <w:rPr>
          <w:rFonts w:ascii="Arial" w:hAnsi="Arial" w:cs="Arial"/>
          <w:sz w:val="24"/>
          <w:szCs w:val="24"/>
        </w:rPr>
        <w:t xml:space="preserve"> una plantilla quirúrgica de papel de estaño, con el fin de utilizarla para extraer el fragmento de tejido que se iba a injertar.</w:t>
      </w:r>
    </w:p>
    <w:p w:rsidR="00A123AF" w:rsidRDefault="00A123AF" w:rsidP="002216B9">
      <w:pPr>
        <w:spacing w:after="0" w:line="360" w:lineRule="auto"/>
        <w:jc w:val="both"/>
        <w:rPr>
          <w:rFonts w:ascii="Arial" w:hAnsi="Arial" w:cs="Arial"/>
          <w:sz w:val="24"/>
          <w:szCs w:val="24"/>
        </w:rPr>
      </w:pPr>
      <w:r>
        <w:rPr>
          <w:rFonts w:ascii="Arial" w:hAnsi="Arial" w:cs="Arial"/>
          <w:sz w:val="24"/>
          <w:szCs w:val="24"/>
        </w:rPr>
        <w:t xml:space="preserve">En el paladar, a dos milímetros del </w:t>
      </w:r>
      <w:r w:rsidR="00331AA2">
        <w:rPr>
          <w:rFonts w:ascii="Arial" w:hAnsi="Arial" w:cs="Arial"/>
          <w:sz w:val="24"/>
          <w:szCs w:val="24"/>
        </w:rPr>
        <w:t xml:space="preserve">límite </w:t>
      </w:r>
      <w:proofErr w:type="spellStart"/>
      <w:r w:rsidR="00331AA2">
        <w:rPr>
          <w:rFonts w:ascii="Arial" w:hAnsi="Arial" w:cs="Arial"/>
          <w:sz w:val="24"/>
          <w:szCs w:val="24"/>
        </w:rPr>
        <w:t>ame</w:t>
      </w:r>
      <w:r>
        <w:rPr>
          <w:rFonts w:ascii="Arial" w:hAnsi="Arial" w:cs="Arial"/>
          <w:sz w:val="24"/>
          <w:szCs w:val="24"/>
        </w:rPr>
        <w:t>lo</w:t>
      </w:r>
      <w:r w:rsidR="00331AA2">
        <w:rPr>
          <w:rFonts w:ascii="Arial" w:hAnsi="Arial" w:cs="Arial"/>
          <w:sz w:val="24"/>
          <w:szCs w:val="24"/>
        </w:rPr>
        <w:t>cementario</w:t>
      </w:r>
      <w:proofErr w:type="spellEnd"/>
      <w:r w:rsidR="00331AA2">
        <w:rPr>
          <w:rFonts w:ascii="Arial" w:hAnsi="Arial" w:cs="Arial"/>
          <w:sz w:val="24"/>
          <w:szCs w:val="24"/>
        </w:rPr>
        <w:t xml:space="preserve"> de los premolares su</w:t>
      </w:r>
      <w:r>
        <w:rPr>
          <w:rFonts w:ascii="Arial" w:hAnsi="Arial" w:cs="Arial"/>
          <w:sz w:val="24"/>
          <w:szCs w:val="24"/>
        </w:rPr>
        <w:t xml:space="preserve">periores izquierdos se </w:t>
      </w:r>
      <w:r w:rsidR="00331AA2">
        <w:rPr>
          <w:rFonts w:ascii="Arial" w:hAnsi="Arial" w:cs="Arial"/>
          <w:sz w:val="24"/>
          <w:szCs w:val="24"/>
        </w:rPr>
        <w:t>trazó</w:t>
      </w:r>
      <w:r>
        <w:rPr>
          <w:rFonts w:ascii="Arial" w:hAnsi="Arial" w:cs="Arial"/>
          <w:sz w:val="24"/>
          <w:szCs w:val="24"/>
        </w:rPr>
        <w:t xml:space="preserve"> mediante la guía de la plantilla quirúrgica la </w:t>
      </w:r>
      <w:r w:rsidR="00331AA2">
        <w:rPr>
          <w:rFonts w:ascii="Arial" w:hAnsi="Arial" w:cs="Arial"/>
          <w:sz w:val="24"/>
          <w:szCs w:val="24"/>
        </w:rPr>
        <w:t>muestra</w:t>
      </w:r>
      <w:r>
        <w:rPr>
          <w:rFonts w:ascii="Arial" w:hAnsi="Arial" w:cs="Arial"/>
          <w:sz w:val="24"/>
          <w:szCs w:val="24"/>
        </w:rPr>
        <w:t xml:space="preserve"> donante la cual fue </w:t>
      </w:r>
      <w:r w:rsidR="00331AA2">
        <w:rPr>
          <w:rFonts w:ascii="Arial" w:hAnsi="Arial" w:cs="Arial"/>
          <w:sz w:val="24"/>
          <w:szCs w:val="24"/>
        </w:rPr>
        <w:t>rebajada</w:t>
      </w:r>
      <w:r>
        <w:rPr>
          <w:rFonts w:ascii="Arial" w:hAnsi="Arial" w:cs="Arial"/>
          <w:sz w:val="24"/>
          <w:szCs w:val="24"/>
        </w:rPr>
        <w:t xml:space="preserve"> y colocada en suero fisiológico para su hidratación.</w:t>
      </w:r>
      <w:r w:rsidR="00331AA2">
        <w:rPr>
          <w:rFonts w:ascii="Arial" w:hAnsi="Arial" w:cs="Arial"/>
          <w:sz w:val="24"/>
          <w:szCs w:val="24"/>
        </w:rPr>
        <w:t xml:space="preserve"> El</w:t>
      </w:r>
      <w:r>
        <w:rPr>
          <w:rFonts w:ascii="Arial" w:hAnsi="Arial" w:cs="Arial"/>
          <w:sz w:val="24"/>
          <w:szCs w:val="24"/>
        </w:rPr>
        <w:t xml:space="preserve"> injerto fue adaptado en la zona receptora </w:t>
      </w:r>
      <w:r w:rsidR="00F431B2">
        <w:rPr>
          <w:rFonts w:ascii="Arial" w:hAnsi="Arial" w:cs="Arial"/>
          <w:sz w:val="24"/>
          <w:szCs w:val="24"/>
        </w:rPr>
        <w:t>(Figura 2)</w:t>
      </w:r>
      <w:r w:rsidR="00F431B2">
        <w:rPr>
          <w:rFonts w:ascii="Arial" w:hAnsi="Arial" w:cs="Arial"/>
          <w:sz w:val="24"/>
          <w:szCs w:val="24"/>
        </w:rPr>
        <w:t xml:space="preserve"> </w:t>
      </w:r>
      <w:r>
        <w:rPr>
          <w:rFonts w:ascii="Arial" w:hAnsi="Arial" w:cs="Arial"/>
          <w:sz w:val="24"/>
          <w:szCs w:val="24"/>
        </w:rPr>
        <w:t>y sostenido con sutura suspensoria</w:t>
      </w:r>
      <w:r w:rsidR="00F431B2">
        <w:rPr>
          <w:rFonts w:ascii="Arial" w:hAnsi="Arial" w:cs="Arial"/>
          <w:sz w:val="24"/>
          <w:szCs w:val="24"/>
        </w:rPr>
        <w:t xml:space="preserve"> (Figura 3</w:t>
      </w:r>
      <w:r w:rsidR="00F431B2">
        <w:rPr>
          <w:rFonts w:ascii="Arial" w:hAnsi="Arial" w:cs="Arial"/>
          <w:sz w:val="24"/>
          <w:szCs w:val="24"/>
        </w:rPr>
        <w:t>)</w:t>
      </w:r>
      <w:r>
        <w:rPr>
          <w:rFonts w:ascii="Arial" w:hAnsi="Arial" w:cs="Arial"/>
          <w:sz w:val="24"/>
          <w:szCs w:val="24"/>
        </w:rPr>
        <w:t>.</w:t>
      </w:r>
    </w:p>
    <w:p w:rsidR="00F431B2" w:rsidRDefault="00F431B2" w:rsidP="002216B9">
      <w:pPr>
        <w:spacing w:after="0" w:line="360" w:lineRule="auto"/>
        <w:jc w:val="both"/>
        <w:rPr>
          <w:rFonts w:ascii="Arial" w:hAnsi="Arial" w:cs="Arial"/>
          <w:sz w:val="24"/>
          <w:szCs w:val="24"/>
        </w:rPr>
      </w:pPr>
      <w:r>
        <w:rPr>
          <w:noProof/>
          <w:lang w:val="es-MX" w:eastAsia="es-MX"/>
        </w:rPr>
        <w:drawing>
          <wp:inline distT="0" distB="0" distL="0" distR="0" wp14:anchorId="28C4C828" wp14:editId="6731D1D6">
            <wp:extent cx="1933575" cy="15430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72452" cy="1574075"/>
                    </a:xfrm>
                    <a:prstGeom prst="rect">
                      <a:avLst/>
                    </a:prstGeom>
                  </pic:spPr>
                </pic:pic>
              </a:graphicData>
            </a:graphic>
          </wp:inline>
        </w:drawing>
      </w:r>
    </w:p>
    <w:p w:rsidR="00F431B2" w:rsidRPr="00F431B2" w:rsidRDefault="00F431B2" w:rsidP="002216B9">
      <w:pPr>
        <w:spacing w:after="0" w:line="360" w:lineRule="auto"/>
        <w:jc w:val="both"/>
        <w:rPr>
          <w:rFonts w:ascii="Arial" w:hAnsi="Arial" w:cs="Arial"/>
          <w:b/>
        </w:rPr>
      </w:pPr>
      <w:r w:rsidRPr="00F431B2">
        <w:rPr>
          <w:rFonts w:ascii="Arial" w:hAnsi="Arial" w:cs="Arial"/>
          <w:b/>
        </w:rPr>
        <w:t>Figura 2. Adaptación del injerto a zona receptora</w:t>
      </w:r>
    </w:p>
    <w:p w:rsidR="00F431B2" w:rsidRDefault="00F431B2" w:rsidP="002216B9">
      <w:pPr>
        <w:spacing w:after="0" w:line="360" w:lineRule="auto"/>
        <w:jc w:val="both"/>
        <w:rPr>
          <w:rFonts w:ascii="Arial" w:hAnsi="Arial" w:cs="Arial"/>
          <w:sz w:val="24"/>
          <w:szCs w:val="24"/>
        </w:rPr>
      </w:pPr>
    </w:p>
    <w:p w:rsidR="00F431B2" w:rsidRDefault="00F431B2" w:rsidP="002216B9">
      <w:pPr>
        <w:spacing w:after="0" w:line="360" w:lineRule="auto"/>
        <w:jc w:val="both"/>
        <w:rPr>
          <w:rFonts w:ascii="Arial" w:hAnsi="Arial" w:cs="Arial"/>
          <w:sz w:val="24"/>
          <w:szCs w:val="24"/>
        </w:rPr>
      </w:pPr>
      <w:r>
        <w:rPr>
          <w:noProof/>
          <w:lang w:val="es-MX" w:eastAsia="es-MX"/>
        </w:rPr>
        <w:drawing>
          <wp:inline distT="0" distB="0" distL="0" distR="0" wp14:anchorId="77856C26" wp14:editId="2268A3FF">
            <wp:extent cx="1961515" cy="1485867"/>
            <wp:effectExtent l="0" t="0" r="635"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75491" cy="1496454"/>
                    </a:xfrm>
                    <a:prstGeom prst="rect">
                      <a:avLst/>
                    </a:prstGeom>
                  </pic:spPr>
                </pic:pic>
              </a:graphicData>
            </a:graphic>
          </wp:inline>
        </w:drawing>
      </w:r>
    </w:p>
    <w:p w:rsidR="00F431B2" w:rsidRPr="00F431B2" w:rsidRDefault="00F431B2" w:rsidP="002216B9">
      <w:pPr>
        <w:spacing w:after="0" w:line="360" w:lineRule="auto"/>
        <w:jc w:val="both"/>
        <w:rPr>
          <w:rFonts w:ascii="Arial" w:hAnsi="Arial" w:cs="Arial"/>
          <w:b/>
        </w:rPr>
      </w:pPr>
      <w:r w:rsidRPr="00F431B2">
        <w:rPr>
          <w:rFonts w:ascii="Arial" w:hAnsi="Arial" w:cs="Arial"/>
          <w:b/>
        </w:rPr>
        <w:t>Figura 3. Sutura suspensoria sosteniendo el injerto</w:t>
      </w:r>
    </w:p>
    <w:p w:rsidR="002C5205" w:rsidRDefault="00331AA2" w:rsidP="002216B9">
      <w:pPr>
        <w:spacing w:after="0" w:line="360" w:lineRule="auto"/>
        <w:jc w:val="both"/>
        <w:rPr>
          <w:rFonts w:ascii="Arial" w:hAnsi="Arial" w:cs="Arial"/>
          <w:sz w:val="24"/>
          <w:szCs w:val="24"/>
        </w:rPr>
      </w:pPr>
      <w:r>
        <w:rPr>
          <w:rFonts w:ascii="Arial" w:hAnsi="Arial" w:cs="Arial"/>
          <w:sz w:val="24"/>
          <w:szCs w:val="24"/>
        </w:rPr>
        <w:t xml:space="preserve">La región intervenida fue protegida con papel de estaño y cemento quirúrgico. </w:t>
      </w:r>
    </w:p>
    <w:p w:rsidR="00A123AF" w:rsidRDefault="00331AA2" w:rsidP="002216B9">
      <w:pPr>
        <w:spacing w:after="0" w:line="360" w:lineRule="auto"/>
        <w:jc w:val="both"/>
        <w:rPr>
          <w:rFonts w:ascii="Arial" w:hAnsi="Arial" w:cs="Arial"/>
          <w:sz w:val="24"/>
          <w:szCs w:val="24"/>
        </w:rPr>
      </w:pPr>
      <w:r>
        <w:rPr>
          <w:rFonts w:ascii="Arial" w:hAnsi="Arial" w:cs="Arial"/>
          <w:sz w:val="24"/>
          <w:szCs w:val="24"/>
        </w:rPr>
        <w:t xml:space="preserve">Se indicó </w:t>
      </w:r>
      <w:proofErr w:type="spellStart"/>
      <w:r>
        <w:rPr>
          <w:rFonts w:ascii="Arial" w:hAnsi="Arial" w:cs="Arial"/>
          <w:sz w:val="24"/>
          <w:szCs w:val="24"/>
        </w:rPr>
        <w:t>antibioticoterapia</w:t>
      </w:r>
      <w:proofErr w:type="spellEnd"/>
      <w:r>
        <w:rPr>
          <w:rFonts w:ascii="Arial" w:hAnsi="Arial" w:cs="Arial"/>
          <w:sz w:val="24"/>
          <w:szCs w:val="24"/>
        </w:rPr>
        <w:t xml:space="preserve"> y mantener el apósito periodontal durante 10 a 14 días. Pasado el tiempo previsto, se retiraron el cemento y la sutura</w:t>
      </w:r>
      <w:r w:rsidR="00D71846">
        <w:rPr>
          <w:rFonts w:ascii="Arial" w:hAnsi="Arial" w:cs="Arial"/>
          <w:sz w:val="24"/>
          <w:szCs w:val="24"/>
        </w:rPr>
        <w:t xml:space="preserve"> (Figura 4.)</w:t>
      </w:r>
      <w:r>
        <w:rPr>
          <w:rFonts w:ascii="Arial" w:hAnsi="Arial" w:cs="Arial"/>
          <w:sz w:val="24"/>
          <w:szCs w:val="24"/>
        </w:rPr>
        <w:t xml:space="preserve"> hasta que se logró la completa cicatrización</w:t>
      </w:r>
      <w:proofErr w:type="gramStart"/>
      <w:r>
        <w:rPr>
          <w:rFonts w:ascii="Arial" w:hAnsi="Arial" w:cs="Arial"/>
          <w:sz w:val="24"/>
          <w:szCs w:val="24"/>
        </w:rPr>
        <w:t>.</w:t>
      </w:r>
      <w:r w:rsidR="00D71846">
        <w:rPr>
          <w:rFonts w:ascii="Arial" w:hAnsi="Arial" w:cs="Arial"/>
          <w:sz w:val="24"/>
          <w:szCs w:val="24"/>
        </w:rPr>
        <w:t>(</w:t>
      </w:r>
      <w:proofErr w:type="gramEnd"/>
      <w:r w:rsidR="00D71846">
        <w:rPr>
          <w:rFonts w:ascii="Arial" w:hAnsi="Arial" w:cs="Arial"/>
          <w:sz w:val="24"/>
          <w:szCs w:val="24"/>
        </w:rPr>
        <w:t>Figura 5)</w:t>
      </w:r>
      <w:r>
        <w:rPr>
          <w:rFonts w:ascii="Arial" w:hAnsi="Arial" w:cs="Arial"/>
          <w:sz w:val="24"/>
          <w:szCs w:val="24"/>
        </w:rPr>
        <w:t xml:space="preserve"> </w:t>
      </w:r>
    </w:p>
    <w:p w:rsidR="00D71846" w:rsidRDefault="00D71846" w:rsidP="002216B9">
      <w:pPr>
        <w:spacing w:after="0" w:line="360" w:lineRule="auto"/>
        <w:jc w:val="both"/>
        <w:rPr>
          <w:rFonts w:ascii="Arial" w:hAnsi="Arial" w:cs="Arial"/>
          <w:sz w:val="24"/>
          <w:szCs w:val="24"/>
        </w:rPr>
      </w:pPr>
      <w:r>
        <w:rPr>
          <w:noProof/>
          <w:lang w:val="es-MX" w:eastAsia="es-MX"/>
        </w:rPr>
        <w:drawing>
          <wp:inline distT="0" distB="0" distL="0" distR="0" wp14:anchorId="5A539D89" wp14:editId="7F6E5D12">
            <wp:extent cx="2037961" cy="135255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57996" cy="1365847"/>
                    </a:xfrm>
                    <a:prstGeom prst="rect">
                      <a:avLst/>
                    </a:prstGeom>
                  </pic:spPr>
                </pic:pic>
              </a:graphicData>
            </a:graphic>
          </wp:inline>
        </w:drawing>
      </w:r>
    </w:p>
    <w:p w:rsidR="00D71846" w:rsidRPr="00F431B2" w:rsidRDefault="00F431B2" w:rsidP="002216B9">
      <w:pPr>
        <w:spacing w:after="0" w:line="360" w:lineRule="auto"/>
        <w:jc w:val="both"/>
        <w:rPr>
          <w:rFonts w:ascii="Arial" w:hAnsi="Arial" w:cs="Arial"/>
          <w:b/>
        </w:rPr>
      </w:pPr>
      <w:r w:rsidRPr="00F431B2">
        <w:rPr>
          <w:rFonts w:ascii="Arial" w:hAnsi="Arial" w:cs="Arial"/>
          <w:b/>
        </w:rPr>
        <w:t>Figura 4. Retirada de sutura a los 14 días</w:t>
      </w:r>
    </w:p>
    <w:p w:rsidR="00D71846" w:rsidRDefault="00D71846" w:rsidP="002216B9">
      <w:pPr>
        <w:spacing w:after="0" w:line="360" w:lineRule="auto"/>
        <w:jc w:val="both"/>
        <w:rPr>
          <w:rFonts w:ascii="Arial" w:hAnsi="Arial" w:cs="Arial"/>
          <w:sz w:val="24"/>
          <w:szCs w:val="24"/>
        </w:rPr>
      </w:pPr>
    </w:p>
    <w:p w:rsidR="00D71846" w:rsidRDefault="00D71846" w:rsidP="002216B9">
      <w:pPr>
        <w:spacing w:after="0" w:line="360" w:lineRule="auto"/>
        <w:jc w:val="both"/>
        <w:rPr>
          <w:rFonts w:ascii="Arial" w:hAnsi="Arial" w:cs="Arial"/>
          <w:sz w:val="24"/>
          <w:szCs w:val="24"/>
        </w:rPr>
      </w:pPr>
    </w:p>
    <w:p w:rsidR="00D71846" w:rsidRDefault="00D71846" w:rsidP="002216B9">
      <w:pPr>
        <w:spacing w:after="0" w:line="360" w:lineRule="auto"/>
        <w:jc w:val="both"/>
        <w:rPr>
          <w:rFonts w:ascii="Arial" w:hAnsi="Arial" w:cs="Arial"/>
          <w:sz w:val="24"/>
          <w:szCs w:val="24"/>
        </w:rPr>
      </w:pPr>
    </w:p>
    <w:p w:rsidR="00D71846" w:rsidRDefault="00D71846" w:rsidP="002216B9">
      <w:pPr>
        <w:spacing w:after="0" w:line="360" w:lineRule="auto"/>
        <w:jc w:val="both"/>
        <w:rPr>
          <w:rFonts w:ascii="Arial" w:hAnsi="Arial" w:cs="Arial"/>
          <w:sz w:val="24"/>
          <w:szCs w:val="24"/>
        </w:rPr>
      </w:pPr>
    </w:p>
    <w:p w:rsidR="00D71846" w:rsidRDefault="00D71846" w:rsidP="002216B9">
      <w:pPr>
        <w:spacing w:after="0" w:line="360" w:lineRule="auto"/>
        <w:jc w:val="both"/>
        <w:rPr>
          <w:rFonts w:ascii="Arial" w:hAnsi="Arial" w:cs="Arial"/>
          <w:sz w:val="24"/>
          <w:szCs w:val="24"/>
        </w:rPr>
      </w:pPr>
    </w:p>
    <w:p w:rsidR="00D71846" w:rsidRDefault="00D71846" w:rsidP="002216B9">
      <w:pPr>
        <w:spacing w:after="0" w:line="360" w:lineRule="auto"/>
        <w:jc w:val="both"/>
        <w:rPr>
          <w:rFonts w:ascii="Arial" w:hAnsi="Arial" w:cs="Arial"/>
          <w:b/>
          <w:sz w:val="24"/>
          <w:szCs w:val="24"/>
        </w:rPr>
      </w:pPr>
      <w:r>
        <w:rPr>
          <w:noProof/>
          <w:lang w:val="es-MX" w:eastAsia="es-MX"/>
        </w:rPr>
        <w:drawing>
          <wp:inline distT="0" distB="0" distL="0" distR="0" wp14:anchorId="3C4A01A1" wp14:editId="51AEF80B">
            <wp:extent cx="1971675" cy="141043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88086" cy="1422171"/>
                    </a:xfrm>
                    <a:prstGeom prst="rect">
                      <a:avLst/>
                    </a:prstGeom>
                  </pic:spPr>
                </pic:pic>
              </a:graphicData>
            </a:graphic>
          </wp:inline>
        </w:drawing>
      </w:r>
    </w:p>
    <w:p w:rsidR="00D71846" w:rsidRPr="00D71846" w:rsidRDefault="00D71846" w:rsidP="002216B9">
      <w:pPr>
        <w:spacing w:after="0" w:line="360" w:lineRule="auto"/>
        <w:jc w:val="both"/>
        <w:rPr>
          <w:rFonts w:ascii="Arial" w:hAnsi="Arial" w:cs="Arial"/>
          <w:b/>
        </w:rPr>
      </w:pPr>
      <w:r w:rsidRPr="00D71846">
        <w:rPr>
          <w:rFonts w:ascii="Arial" w:hAnsi="Arial" w:cs="Arial"/>
          <w:b/>
        </w:rPr>
        <w:t xml:space="preserve">Figura 5. Evolución al mes del injerto libre de encía </w:t>
      </w:r>
    </w:p>
    <w:p w:rsidR="00331AA2" w:rsidRPr="00414CA6" w:rsidRDefault="00331AA2" w:rsidP="002216B9">
      <w:pPr>
        <w:spacing w:after="0" w:line="360" w:lineRule="auto"/>
        <w:jc w:val="both"/>
        <w:rPr>
          <w:rFonts w:ascii="Arial" w:hAnsi="Arial" w:cs="Arial"/>
          <w:b/>
          <w:sz w:val="24"/>
          <w:szCs w:val="24"/>
        </w:rPr>
      </w:pPr>
      <w:r w:rsidRPr="00414CA6">
        <w:rPr>
          <w:rFonts w:ascii="Arial" w:hAnsi="Arial" w:cs="Arial"/>
          <w:b/>
          <w:sz w:val="24"/>
          <w:szCs w:val="24"/>
        </w:rPr>
        <w:t>Comentario:</w:t>
      </w:r>
    </w:p>
    <w:p w:rsidR="00331AA2" w:rsidRDefault="00331AA2" w:rsidP="00331AA2">
      <w:pPr>
        <w:spacing w:after="0" w:line="360" w:lineRule="auto"/>
        <w:jc w:val="both"/>
        <w:rPr>
          <w:rFonts w:ascii="Arial" w:hAnsi="Arial" w:cs="Arial"/>
          <w:sz w:val="24"/>
          <w:szCs w:val="24"/>
        </w:rPr>
      </w:pPr>
      <w:r w:rsidRPr="008F757D">
        <w:rPr>
          <w:rFonts w:ascii="Arial" w:hAnsi="Arial" w:cs="Arial"/>
          <w:sz w:val="24"/>
          <w:szCs w:val="24"/>
        </w:rPr>
        <w:t>La meta de todo tratamiento periodontal es devolver al paciente su salud dañada y conjuntamente con ella una apariencia aceptable desde el punto de vista estético, la recuperación de la función y el mantenimiento de estos resultados a través del tiempo.</w:t>
      </w:r>
    </w:p>
    <w:p w:rsidR="00414CA6" w:rsidRPr="00A123AF" w:rsidRDefault="00414CA6" w:rsidP="00331AA2">
      <w:pPr>
        <w:spacing w:after="0" w:line="360" w:lineRule="auto"/>
        <w:jc w:val="both"/>
        <w:rPr>
          <w:rFonts w:ascii="Arial" w:hAnsi="Arial" w:cs="Arial"/>
          <w:sz w:val="24"/>
          <w:szCs w:val="24"/>
        </w:rPr>
      </w:pPr>
      <w:r>
        <w:rPr>
          <w:rFonts w:ascii="Arial" w:eastAsia="TimesNewRomanPSMT" w:hAnsi="Arial" w:cs="Arial"/>
          <w:sz w:val="24"/>
          <w:szCs w:val="24"/>
        </w:rPr>
        <w:t xml:space="preserve">El continuo recambio celular y maduración de los injertos, así como la acción de la </w:t>
      </w:r>
      <w:proofErr w:type="spellStart"/>
      <w:r>
        <w:rPr>
          <w:rFonts w:ascii="Arial" w:eastAsia="TimesNewRomanPSMT" w:hAnsi="Arial" w:cs="Arial"/>
          <w:sz w:val="24"/>
          <w:szCs w:val="24"/>
        </w:rPr>
        <w:t>microbiota</w:t>
      </w:r>
      <w:proofErr w:type="spellEnd"/>
      <w:r>
        <w:rPr>
          <w:rFonts w:ascii="Arial" w:eastAsia="TimesNewRomanPSMT" w:hAnsi="Arial" w:cs="Arial"/>
          <w:sz w:val="24"/>
          <w:szCs w:val="24"/>
        </w:rPr>
        <w:t xml:space="preserve"> bucal, los efectos del cepillado y la masticación, entre otros elementos, pueden tributar a variaciones en los resultados logrados con los diferentes procedimientos de injertos que a lo largo del tiempo pueden influir en diversos grados en el logro exitoso de estas técnicas plásticas periodontales.</w:t>
      </w:r>
    </w:p>
    <w:p w:rsidR="00331AA2" w:rsidRDefault="00331AA2" w:rsidP="002216B9">
      <w:pPr>
        <w:spacing w:after="0" w:line="360" w:lineRule="auto"/>
        <w:jc w:val="both"/>
        <w:rPr>
          <w:rFonts w:ascii="Arial" w:eastAsia="TimesNewRomanPSMT" w:hAnsi="Arial" w:cs="Arial"/>
          <w:sz w:val="24"/>
          <w:szCs w:val="24"/>
        </w:rPr>
      </w:pPr>
      <w:r>
        <w:rPr>
          <w:rFonts w:ascii="Arial" w:eastAsia="TimesNewRomanPSMT" w:hAnsi="Arial" w:cs="Arial"/>
          <w:sz w:val="24"/>
          <w:szCs w:val="24"/>
        </w:rPr>
        <w:t>El injerto gingival libre, uno de los más utilizados universalmente por su predictibilidad y versatilidad siempre que se quiera conseguir un recubrimiento radicular con aumento de encía queratinizada.</w:t>
      </w:r>
    </w:p>
    <w:p w:rsidR="00414CA6" w:rsidRDefault="00414CA6" w:rsidP="002216B9">
      <w:pPr>
        <w:spacing w:after="0" w:line="360" w:lineRule="auto"/>
        <w:jc w:val="both"/>
        <w:rPr>
          <w:rFonts w:ascii="Arial" w:hAnsi="Arial" w:cs="Arial"/>
          <w:sz w:val="24"/>
          <w:szCs w:val="24"/>
        </w:rPr>
      </w:pPr>
      <w:r>
        <w:rPr>
          <w:rFonts w:ascii="Arial" w:eastAsia="TimesNewRomanPSMT" w:hAnsi="Arial" w:cs="Arial"/>
          <w:sz w:val="24"/>
          <w:szCs w:val="24"/>
        </w:rPr>
        <w:t>El equipo de investigación concuerda que</w:t>
      </w:r>
      <w:r w:rsidRPr="00F82CBC">
        <w:t xml:space="preserve"> </w:t>
      </w:r>
      <w:r w:rsidRPr="00F82CBC">
        <w:rPr>
          <w:rFonts w:ascii="Arial" w:hAnsi="Arial" w:cs="Arial"/>
          <w:sz w:val="24"/>
          <w:szCs w:val="24"/>
        </w:rPr>
        <w:t>los injertos libres son los que con mayor frecuencia se realizan a los niños, pues precisamente en estas edades las recesiones son más frecuentes en los incisivos inferiores y por las características de estas, fundamentalmente la asociación con inserciones frénicas, periodontos delgados</w:t>
      </w:r>
      <w:r>
        <w:rPr>
          <w:rFonts w:ascii="Arial" w:hAnsi="Arial" w:cs="Arial"/>
          <w:sz w:val="24"/>
          <w:szCs w:val="24"/>
        </w:rPr>
        <w:t xml:space="preserve"> </w:t>
      </w:r>
      <w:r w:rsidRPr="00F82CBC">
        <w:rPr>
          <w:rFonts w:ascii="Arial" w:hAnsi="Arial" w:cs="Arial"/>
          <w:sz w:val="24"/>
          <w:szCs w:val="24"/>
        </w:rPr>
        <w:t xml:space="preserve">(tipo IV), lo que se puede realizar son </w:t>
      </w:r>
      <w:r>
        <w:rPr>
          <w:rFonts w:ascii="Arial" w:hAnsi="Arial" w:cs="Arial"/>
          <w:sz w:val="24"/>
          <w:szCs w:val="24"/>
        </w:rPr>
        <w:t>injertos libres de encía</w:t>
      </w:r>
      <w:r w:rsidRPr="00F82CBC">
        <w:rPr>
          <w:rFonts w:ascii="Arial" w:hAnsi="Arial" w:cs="Arial"/>
          <w:sz w:val="24"/>
          <w:szCs w:val="24"/>
        </w:rPr>
        <w:t>.</w:t>
      </w:r>
    </w:p>
    <w:p w:rsidR="00414CA6" w:rsidRPr="00107C8B" w:rsidRDefault="00414CA6" w:rsidP="00414CA6">
      <w:pPr>
        <w:spacing w:after="0" w:line="360" w:lineRule="auto"/>
        <w:jc w:val="both"/>
        <w:rPr>
          <w:rFonts w:ascii="Arial" w:hAnsi="Arial" w:cs="Arial"/>
          <w:sz w:val="24"/>
          <w:szCs w:val="24"/>
        </w:rPr>
      </w:pPr>
      <w:r w:rsidRPr="00414CA6">
        <w:rPr>
          <w:rFonts w:ascii="Arial" w:hAnsi="Arial" w:cs="Arial"/>
          <w:sz w:val="24"/>
          <w:szCs w:val="24"/>
        </w:rPr>
        <w:t xml:space="preserve">Mediante esta técnica empleada en el paciente de este informe, se logró eliminar el frenillo de inserción patológica, crear una banda de encía queratinizada adecuada desde el punto de vista anatómico y funcional y cobertura efectiva de </w:t>
      </w:r>
      <w:r w:rsidRPr="00414CA6">
        <w:rPr>
          <w:rFonts w:ascii="Arial" w:hAnsi="Arial" w:cs="Arial"/>
          <w:sz w:val="24"/>
          <w:szCs w:val="24"/>
        </w:rPr>
        <w:lastRenderedPageBreak/>
        <w:t xml:space="preserve">las superficies radiculares denudadas. Los resultados obtenidos en el informe de caso son comparables con </w:t>
      </w:r>
      <w:r w:rsidR="00107C8B" w:rsidRPr="003B0830">
        <w:rPr>
          <w:rFonts w:ascii="Arial" w:hAnsi="Arial" w:cs="Arial"/>
          <w:sz w:val="24"/>
          <w:szCs w:val="24"/>
        </w:rPr>
        <w:t>Carreño</w:t>
      </w:r>
      <w:r w:rsidR="003B0830">
        <w:rPr>
          <w:rFonts w:ascii="Arial" w:hAnsi="Arial" w:cs="Arial"/>
          <w:sz w:val="24"/>
          <w:szCs w:val="24"/>
        </w:rPr>
        <w:t xml:space="preserve"> </w:t>
      </w:r>
      <w:r w:rsidRPr="003B0830">
        <w:rPr>
          <w:rFonts w:ascii="Arial" w:hAnsi="Arial" w:cs="Arial"/>
          <w:sz w:val="24"/>
          <w:szCs w:val="24"/>
        </w:rPr>
        <w:t>y colaboradores</w:t>
      </w:r>
      <w:r w:rsidR="00107C8B">
        <w:rPr>
          <w:rFonts w:ascii="Arial" w:hAnsi="Arial" w:cs="Arial"/>
          <w:sz w:val="24"/>
          <w:szCs w:val="24"/>
        </w:rPr>
        <w:t xml:space="preserve"> </w:t>
      </w:r>
      <w:r w:rsidR="00107C8B">
        <w:rPr>
          <w:rFonts w:ascii="Arial" w:hAnsi="Arial" w:cs="Arial"/>
          <w:b/>
          <w:sz w:val="24"/>
          <w:szCs w:val="24"/>
          <w:vertAlign w:val="superscript"/>
        </w:rPr>
        <w:t>3</w:t>
      </w:r>
      <w:r w:rsidR="00107C8B">
        <w:rPr>
          <w:rFonts w:ascii="Arial" w:hAnsi="Arial" w:cs="Arial"/>
          <w:b/>
          <w:sz w:val="24"/>
          <w:szCs w:val="24"/>
        </w:rPr>
        <w:t>.</w:t>
      </w:r>
    </w:p>
    <w:p w:rsidR="00331AA2" w:rsidRDefault="00331AA2" w:rsidP="00414CA6">
      <w:pPr>
        <w:spacing w:after="0" w:line="360" w:lineRule="auto"/>
        <w:jc w:val="both"/>
        <w:rPr>
          <w:rFonts w:ascii="Arial" w:hAnsi="Arial" w:cs="Arial"/>
          <w:sz w:val="24"/>
          <w:szCs w:val="24"/>
        </w:rPr>
      </w:pPr>
      <w:r w:rsidRPr="00414CA6">
        <w:rPr>
          <w:rFonts w:ascii="Arial" w:hAnsi="Arial" w:cs="Arial"/>
          <w:sz w:val="24"/>
          <w:szCs w:val="24"/>
        </w:rPr>
        <w:t xml:space="preserve">En el paciente menor de 19 años donde se conoce la importancia que le confiere a la estética en su integración y desarrollo social, la cobertura radicular lograda y mantenida en el tiempo es de vital importancia para satisfacción personal. Además, de que se demuestre si existe perdurabilidad en los logros alcanzado de una técnica quirúrgica permitirá un mejor desarrollo de la terapéutica de la recesión periodontal. </w:t>
      </w:r>
    </w:p>
    <w:p w:rsidR="00693DAB" w:rsidRPr="00F431B2" w:rsidRDefault="00693DAB" w:rsidP="00F431B2">
      <w:pPr>
        <w:spacing w:after="0" w:line="360" w:lineRule="auto"/>
        <w:jc w:val="both"/>
        <w:rPr>
          <w:rFonts w:ascii="Arial" w:hAnsi="Arial" w:cs="Arial"/>
          <w:sz w:val="24"/>
          <w:szCs w:val="24"/>
        </w:rPr>
      </w:pPr>
      <w:r w:rsidRPr="00F431B2">
        <w:rPr>
          <w:rFonts w:ascii="Arial" w:hAnsi="Arial" w:cs="Arial"/>
          <w:sz w:val="24"/>
          <w:szCs w:val="24"/>
        </w:rPr>
        <w:t>R</w:t>
      </w:r>
      <w:r w:rsidR="003B0830" w:rsidRPr="00F431B2">
        <w:rPr>
          <w:rFonts w:ascii="Arial" w:hAnsi="Arial" w:cs="Arial"/>
          <w:sz w:val="24"/>
          <w:szCs w:val="24"/>
        </w:rPr>
        <w:t>eferencias</w:t>
      </w:r>
      <w:r w:rsidRPr="00F431B2">
        <w:rPr>
          <w:rFonts w:ascii="Arial" w:hAnsi="Arial" w:cs="Arial"/>
          <w:sz w:val="24"/>
          <w:szCs w:val="24"/>
        </w:rPr>
        <w:t xml:space="preserve"> B</w:t>
      </w:r>
      <w:r w:rsidR="003B0830" w:rsidRPr="00F431B2">
        <w:rPr>
          <w:rFonts w:ascii="Arial" w:hAnsi="Arial" w:cs="Arial"/>
          <w:sz w:val="24"/>
          <w:szCs w:val="24"/>
        </w:rPr>
        <w:t>ibliográficas</w:t>
      </w:r>
      <w:r w:rsidRPr="00F431B2">
        <w:rPr>
          <w:rFonts w:ascii="Arial" w:hAnsi="Arial" w:cs="Arial"/>
          <w:sz w:val="24"/>
          <w:szCs w:val="24"/>
        </w:rPr>
        <w:t xml:space="preserve"> </w:t>
      </w:r>
    </w:p>
    <w:p w:rsidR="00693DAB" w:rsidRPr="00693DAB" w:rsidRDefault="00693DAB" w:rsidP="00CD3413">
      <w:pPr>
        <w:pStyle w:val="Prrafodelista"/>
        <w:numPr>
          <w:ilvl w:val="0"/>
          <w:numId w:val="1"/>
        </w:numPr>
        <w:spacing w:after="0" w:line="360" w:lineRule="auto"/>
        <w:ind w:left="142" w:hanging="284"/>
        <w:jc w:val="both"/>
        <w:rPr>
          <w:rFonts w:ascii="Arial" w:hAnsi="Arial" w:cs="Arial"/>
          <w:sz w:val="24"/>
          <w:szCs w:val="24"/>
        </w:rPr>
      </w:pPr>
      <w:r w:rsidRPr="00693DAB">
        <w:rPr>
          <w:rFonts w:ascii="Arial" w:hAnsi="Arial" w:cs="Arial"/>
          <w:sz w:val="24"/>
          <w:szCs w:val="24"/>
        </w:rPr>
        <w:t xml:space="preserve">Sánchez Orozco CV, Espinosa Arreola M, Hernández Romero C. Cubrimiento radicular con colgajo posicionado coronal y matriz dérmica </w:t>
      </w:r>
      <w:proofErr w:type="spellStart"/>
      <w:r w:rsidRPr="00693DAB">
        <w:rPr>
          <w:rFonts w:ascii="Arial" w:hAnsi="Arial" w:cs="Arial"/>
          <w:sz w:val="24"/>
          <w:szCs w:val="24"/>
        </w:rPr>
        <w:t>acelular</w:t>
      </w:r>
      <w:proofErr w:type="spellEnd"/>
      <w:r w:rsidRPr="00693DAB">
        <w:rPr>
          <w:rFonts w:ascii="Arial" w:hAnsi="Arial" w:cs="Arial"/>
          <w:sz w:val="24"/>
          <w:szCs w:val="24"/>
        </w:rPr>
        <w:t xml:space="preserve"> en recesiones clase II y III de Miller en pacientes con diabetes mellitus tipo II. Reporte de caso. </w:t>
      </w:r>
      <w:proofErr w:type="spellStart"/>
      <w:r w:rsidRPr="00693DAB">
        <w:rPr>
          <w:rFonts w:ascii="Arial" w:hAnsi="Arial" w:cs="Arial"/>
          <w:sz w:val="24"/>
          <w:szCs w:val="24"/>
        </w:rPr>
        <w:t>Rev</w:t>
      </w:r>
      <w:proofErr w:type="spellEnd"/>
      <w:r w:rsidRPr="00693DAB">
        <w:rPr>
          <w:rFonts w:ascii="Arial" w:hAnsi="Arial" w:cs="Arial"/>
          <w:sz w:val="24"/>
          <w:szCs w:val="24"/>
        </w:rPr>
        <w:t xml:space="preserve"> </w:t>
      </w:r>
      <w:proofErr w:type="spellStart"/>
      <w:r w:rsidRPr="00693DAB">
        <w:rPr>
          <w:rFonts w:ascii="Arial" w:hAnsi="Arial" w:cs="Arial"/>
          <w:sz w:val="24"/>
          <w:szCs w:val="24"/>
        </w:rPr>
        <w:t>Mex</w:t>
      </w:r>
      <w:proofErr w:type="spellEnd"/>
      <w:r w:rsidRPr="00693DAB">
        <w:rPr>
          <w:rFonts w:ascii="Arial" w:hAnsi="Arial" w:cs="Arial"/>
          <w:sz w:val="24"/>
          <w:szCs w:val="24"/>
        </w:rPr>
        <w:t xml:space="preserve"> </w:t>
      </w:r>
      <w:proofErr w:type="spellStart"/>
      <w:r w:rsidRPr="00693DAB">
        <w:rPr>
          <w:rFonts w:ascii="Arial" w:hAnsi="Arial" w:cs="Arial"/>
          <w:sz w:val="24"/>
          <w:szCs w:val="24"/>
        </w:rPr>
        <w:t>Periodontol</w:t>
      </w:r>
      <w:proofErr w:type="spellEnd"/>
      <w:r w:rsidRPr="00693DAB">
        <w:rPr>
          <w:rFonts w:ascii="Arial" w:hAnsi="Arial" w:cs="Arial"/>
          <w:sz w:val="24"/>
          <w:szCs w:val="24"/>
        </w:rPr>
        <w:t xml:space="preserve"> [Internet]. 2019 [citado 2 </w:t>
      </w:r>
      <w:r>
        <w:rPr>
          <w:rFonts w:ascii="Arial" w:hAnsi="Arial" w:cs="Arial"/>
          <w:sz w:val="24"/>
          <w:szCs w:val="24"/>
        </w:rPr>
        <w:t>Abr 2024</w:t>
      </w:r>
      <w:r w:rsidRPr="00693DAB">
        <w:rPr>
          <w:rFonts w:ascii="Arial" w:hAnsi="Arial" w:cs="Arial"/>
          <w:sz w:val="24"/>
          <w:szCs w:val="24"/>
        </w:rPr>
        <w:t>]</w:t>
      </w:r>
      <w:proofErr w:type="gramStart"/>
      <w:r w:rsidRPr="00693DAB">
        <w:rPr>
          <w:rFonts w:ascii="Arial" w:hAnsi="Arial" w:cs="Arial"/>
          <w:sz w:val="24"/>
          <w:szCs w:val="24"/>
        </w:rPr>
        <w:t>;10</w:t>
      </w:r>
      <w:proofErr w:type="gramEnd"/>
      <w:r w:rsidRPr="00693DAB">
        <w:rPr>
          <w:rFonts w:ascii="Arial" w:hAnsi="Arial" w:cs="Arial"/>
          <w:sz w:val="24"/>
          <w:szCs w:val="24"/>
        </w:rPr>
        <w:t xml:space="preserve">(3):[aprox. 5 p.]. Disponible en: </w:t>
      </w:r>
      <w:hyperlink r:id="rId11" w:history="1">
        <w:r w:rsidRPr="00693DAB">
          <w:rPr>
            <w:rStyle w:val="Hipervnculo"/>
            <w:rFonts w:ascii="Arial" w:hAnsi="Arial" w:cs="Arial"/>
            <w:sz w:val="24"/>
            <w:szCs w:val="24"/>
          </w:rPr>
          <w:t>https://www.medigraphic.com/cgibin/newresumen.cgi?IDARTICULO=92122</w:t>
        </w:r>
      </w:hyperlink>
    </w:p>
    <w:p w:rsidR="003B0830" w:rsidRPr="003B0830" w:rsidRDefault="003B0830" w:rsidP="00CD3413">
      <w:pPr>
        <w:pStyle w:val="Prrafodelista"/>
        <w:numPr>
          <w:ilvl w:val="0"/>
          <w:numId w:val="1"/>
        </w:numPr>
        <w:spacing w:after="0" w:line="360" w:lineRule="auto"/>
        <w:ind w:left="142" w:hanging="284"/>
        <w:jc w:val="both"/>
        <w:rPr>
          <w:rFonts w:ascii="Arial" w:hAnsi="Arial" w:cs="Arial"/>
          <w:sz w:val="24"/>
          <w:szCs w:val="24"/>
          <w:lang w:val="en-US"/>
        </w:rPr>
      </w:pPr>
      <w:r w:rsidRPr="003B0830">
        <w:rPr>
          <w:rFonts w:ascii="Arial" w:hAnsi="Arial" w:cs="Arial"/>
          <w:sz w:val="24"/>
          <w:szCs w:val="24"/>
          <w:lang w:val="en-US"/>
        </w:rPr>
        <w:t xml:space="preserve">Takei HH, </w:t>
      </w:r>
      <w:proofErr w:type="spellStart"/>
      <w:r w:rsidRPr="003B0830">
        <w:rPr>
          <w:rFonts w:ascii="Arial" w:hAnsi="Arial" w:cs="Arial"/>
          <w:sz w:val="24"/>
          <w:szCs w:val="24"/>
          <w:lang w:val="en-US"/>
        </w:rPr>
        <w:t>Scheyer</w:t>
      </w:r>
      <w:proofErr w:type="spellEnd"/>
      <w:r w:rsidRPr="003B0830">
        <w:rPr>
          <w:rFonts w:ascii="Arial" w:hAnsi="Arial" w:cs="Arial"/>
          <w:sz w:val="24"/>
          <w:szCs w:val="24"/>
          <w:lang w:val="en-US"/>
        </w:rPr>
        <w:t xml:space="preserve"> ET, </w:t>
      </w:r>
      <w:proofErr w:type="spellStart"/>
      <w:r w:rsidRPr="003B0830">
        <w:rPr>
          <w:rFonts w:ascii="Arial" w:hAnsi="Arial" w:cs="Arial"/>
          <w:sz w:val="24"/>
          <w:szCs w:val="24"/>
          <w:lang w:val="en-US"/>
        </w:rPr>
        <w:t>Azzi</w:t>
      </w:r>
      <w:proofErr w:type="spellEnd"/>
      <w:r w:rsidRPr="003B0830">
        <w:rPr>
          <w:rFonts w:ascii="Arial" w:hAnsi="Arial" w:cs="Arial"/>
          <w:sz w:val="24"/>
          <w:szCs w:val="24"/>
          <w:lang w:val="en-US"/>
        </w:rPr>
        <w:t xml:space="preserve"> RR, Allen EP, Han TJ. Periodontal plastic aesthetic surgery. In: Newman MG, Takei HH, </w:t>
      </w:r>
      <w:proofErr w:type="spellStart"/>
      <w:r w:rsidRPr="003B0830">
        <w:rPr>
          <w:rFonts w:ascii="Arial" w:hAnsi="Arial" w:cs="Arial"/>
          <w:sz w:val="24"/>
          <w:szCs w:val="24"/>
          <w:lang w:val="en-US"/>
        </w:rPr>
        <w:t>Klokkevold</w:t>
      </w:r>
      <w:proofErr w:type="spellEnd"/>
      <w:r w:rsidRPr="003B0830">
        <w:rPr>
          <w:rFonts w:ascii="Arial" w:hAnsi="Arial" w:cs="Arial"/>
          <w:sz w:val="24"/>
          <w:szCs w:val="24"/>
          <w:lang w:val="en-US"/>
        </w:rPr>
        <w:t xml:space="preserve"> PR, </w:t>
      </w:r>
      <w:proofErr w:type="gramStart"/>
      <w:r w:rsidRPr="003B0830">
        <w:rPr>
          <w:rFonts w:ascii="Arial" w:hAnsi="Arial" w:cs="Arial"/>
          <w:sz w:val="24"/>
          <w:szCs w:val="24"/>
          <w:lang w:val="en-US"/>
        </w:rPr>
        <w:t>Carranza</w:t>
      </w:r>
      <w:proofErr w:type="gramEnd"/>
      <w:r w:rsidRPr="003B0830">
        <w:rPr>
          <w:rFonts w:ascii="Arial" w:hAnsi="Arial" w:cs="Arial"/>
          <w:sz w:val="24"/>
          <w:szCs w:val="24"/>
          <w:lang w:val="en-US"/>
        </w:rPr>
        <w:t xml:space="preserve"> FA. Newman and Carranza´s Clinical Periodontology. </w:t>
      </w:r>
      <w:proofErr w:type="gramStart"/>
      <w:r w:rsidRPr="003B0830">
        <w:rPr>
          <w:rFonts w:ascii="Arial" w:hAnsi="Arial" w:cs="Arial"/>
          <w:sz w:val="24"/>
          <w:szCs w:val="24"/>
          <w:lang w:val="en-US"/>
        </w:rPr>
        <w:t>13th</w:t>
      </w:r>
      <w:proofErr w:type="gramEnd"/>
      <w:r w:rsidRPr="003B0830">
        <w:rPr>
          <w:rFonts w:ascii="Arial" w:hAnsi="Arial" w:cs="Arial"/>
          <w:sz w:val="24"/>
          <w:szCs w:val="24"/>
          <w:lang w:val="en-US"/>
        </w:rPr>
        <w:t xml:space="preserve"> ed. Philadelphia: Elsevier Saunders; 2019. p. 3621-708. </w:t>
      </w:r>
    </w:p>
    <w:p w:rsidR="00107C8B" w:rsidRPr="003B0830" w:rsidRDefault="00107C8B" w:rsidP="00CD3413">
      <w:pPr>
        <w:pStyle w:val="Prrafodelista"/>
        <w:numPr>
          <w:ilvl w:val="0"/>
          <w:numId w:val="1"/>
        </w:numPr>
        <w:spacing w:after="0" w:line="360" w:lineRule="auto"/>
        <w:ind w:left="142" w:hanging="284"/>
        <w:jc w:val="both"/>
        <w:rPr>
          <w:rFonts w:ascii="Arial" w:hAnsi="Arial" w:cs="Arial"/>
          <w:sz w:val="24"/>
          <w:szCs w:val="24"/>
        </w:rPr>
      </w:pPr>
      <w:r w:rsidRPr="003B0830">
        <w:rPr>
          <w:rFonts w:ascii="Arial" w:hAnsi="Arial" w:cs="Arial"/>
          <w:sz w:val="24"/>
          <w:szCs w:val="24"/>
        </w:rPr>
        <w:t xml:space="preserve">Carreño Pérez Luis, Castro-Rodríguez Yuri. Técnica de doble injerto gingival libre para incremento de encía queratinizada. </w:t>
      </w:r>
      <w:proofErr w:type="spellStart"/>
      <w:r w:rsidRPr="003B0830">
        <w:rPr>
          <w:rFonts w:ascii="Arial" w:hAnsi="Arial" w:cs="Arial"/>
          <w:sz w:val="24"/>
          <w:szCs w:val="24"/>
        </w:rPr>
        <w:t>Rev</w:t>
      </w:r>
      <w:proofErr w:type="spellEnd"/>
      <w:r w:rsidRPr="003B0830">
        <w:rPr>
          <w:rFonts w:ascii="Arial" w:hAnsi="Arial" w:cs="Arial"/>
          <w:sz w:val="24"/>
          <w:szCs w:val="24"/>
        </w:rPr>
        <w:t xml:space="preserve"> Cubana </w:t>
      </w:r>
      <w:proofErr w:type="spellStart"/>
      <w:r w:rsidRPr="003B0830">
        <w:rPr>
          <w:rFonts w:ascii="Arial" w:hAnsi="Arial" w:cs="Arial"/>
          <w:sz w:val="24"/>
          <w:szCs w:val="24"/>
        </w:rPr>
        <w:t>Invest</w:t>
      </w:r>
      <w:proofErr w:type="spellEnd"/>
      <w:r w:rsidRPr="003B0830">
        <w:rPr>
          <w:rFonts w:ascii="Arial" w:hAnsi="Arial" w:cs="Arial"/>
          <w:sz w:val="24"/>
          <w:szCs w:val="24"/>
        </w:rPr>
        <w:t xml:space="preserve"> </w:t>
      </w:r>
      <w:proofErr w:type="spellStart"/>
      <w:r w:rsidRPr="003B0830">
        <w:rPr>
          <w:rFonts w:ascii="Arial" w:hAnsi="Arial" w:cs="Arial"/>
          <w:sz w:val="24"/>
          <w:szCs w:val="24"/>
        </w:rPr>
        <w:t>Bioméd</w:t>
      </w:r>
      <w:proofErr w:type="spellEnd"/>
      <w:proofErr w:type="gramStart"/>
      <w:r w:rsidRPr="003B0830">
        <w:rPr>
          <w:rFonts w:ascii="Arial" w:hAnsi="Arial" w:cs="Arial"/>
          <w:sz w:val="24"/>
          <w:szCs w:val="24"/>
        </w:rPr>
        <w:t>  [</w:t>
      </w:r>
      <w:proofErr w:type="gramEnd"/>
      <w:r w:rsidRPr="003B0830">
        <w:rPr>
          <w:rFonts w:ascii="Arial" w:hAnsi="Arial" w:cs="Arial"/>
          <w:sz w:val="24"/>
          <w:szCs w:val="24"/>
        </w:rPr>
        <w:t>Internet]. 2021</w:t>
      </w:r>
      <w:proofErr w:type="gramStart"/>
      <w:r w:rsidRPr="003B0830">
        <w:rPr>
          <w:rFonts w:ascii="Arial" w:hAnsi="Arial" w:cs="Arial"/>
          <w:sz w:val="24"/>
          <w:szCs w:val="24"/>
        </w:rPr>
        <w:t>  Mar</w:t>
      </w:r>
      <w:proofErr w:type="gramEnd"/>
      <w:r w:rsidRPr="003B0830">
        <w:rPr>
          <w:rFonts w:ascii="Arial" w:hAnsi="Arial" w:cs="Arial"/>
          <w:sz w:val="24"/>
          <w:szCs w:val="24"/>
        </w:rPr>
        <w:t xml:space="preserve"> [citado  2024  Mar  05] ;  40( 1 ): e813. Disponible en: </w:t>
      </w:r>
      <w:hyperlink r:id="rId12" w:history="1">
        <w:r w:rsidRPr="003B0830">
          <w:rPr>
            <w:rStyle w:val="Hipervnculo"/>
            <w:rFonts w:ascii="Arial" w:hAnsi="Arial" w:cs="Arial"/>
            <w:sz w:val="24"/>
            <w:szCs w:val="24"/>
          </w:rPr>
          <w:t>http://scielo.sld.cu/scielo.php?script=sci_arttext&amp;pid=S086403002021000100020&amp;lng=es</w:t>
        </w:r>
      </w:hyperlink>
    </w:p>
    <w:p w:rsidR="00693DAB" w:rsidRPr="00107C8B" w:rsidRDefault="00693DAB" w:rsidP="00CD3413">
      <w:pPr>
        <w:pStyle w:val="Prrafodelista"/>
        <w:numPr>
          <w:ilvl w:val="0"/>
          <w:numId w:val="1"/>
        </w:numPr>
        <w:spacing w:after="0" w:line="360" w:lineRule="auto"/>
        <w:ind w:left="142" w:hanging="284"/>
        <w:jc w:val="both"/>
        <w:rPr>
          <w:rFonts w:ascii="Arial" w:hAnsi="Arial" w:cs="Arial"/>
          <w:sz w:val="24"/>
          <w:szCs w:val="24"/>
        </w:rPr>
      </w:pPr>
      <w:r w:rsidRPr="00107C8B">
        <w:rPr>
          <w:rFonts w:ascii="Arial" w:hAnsi="Arial" w:cs="Arial"/>
          <w:sz w:val="24"/>
          <w:szCs w:val="24"/>
        </w:rPr>
        <w:t xml:space="preserve">Sarduy Bermúdez L, González Valdés Y, Barreto </w:t>
      </w:r>
      <w:proofErr w:type="spellStart"/>
      <w:r w:rsidRPr="00107C8B">
        <w:rPr>
          <w:rFonts w:ascii="Arial" w:hAnsi="Arial" w:cs="Arial"/>
          <w:sz w:val="24"/>
          <w:szCs w:val="24"/>
        </w:rPr>
        <w:t>Fiu</w:t>
      </w:r>
      <w:proofErr w:type="spellEnd"/>
      <w:r w:rsidRPr="00107C8B">
        <w:rPr>
          <w:rFonts w:ascii="Arial" w:hAnsi="Arial" w:cs="Arial"/>
          <w:sz w:val="24"/>
          <w:szCs w:val="24"/>
        </w:rPr>
        <w:t xml:space="preserve"> E, Corrales Álvarez M. Tratamiento de recesiones periodontales con injerto libre y colgajo de reposición coronal más tejido conectivo. </w:t>
      </w:r>
      <w:proofErr w:type="spellStart"/>
      <w:r w:rsidRPr="00107C8B">
        <w:rPr>
          <w:rFonts w:ascii="Arial" w:hAnsi="Arial" w:cs="Arial"/>
          <w:sz w:val="24"/>
          <w:szCs w:val="24"/>
        </w:rPr>
        <w:t>Medicent</w:t>
      </w:r>
      <w:proofErr w:type="spellEnd"/>
      <w:r w:rsidRPr="00107C8B">
        <w:rPr>
          <w:rFonts w:ascii="Arial" w:hAnsi="Arial" w:cs="Arial"/>
          <w:sz w:val="24"/>
          <w:szCs w:val="24"/>
        </w:rPr>
        <w:t xml:space="preserve"> Electrón [Internet]. 2018 [citado 2 Abr 2024]</w:t>
      </w:r>
      <w:proofErr w:type="gramStart"/>
      <w:r w:rsidRPr="00107C8B">
        <w:rPr>
          <w:rFonts w:ascii="Arial" w:hAnsi="Arial" w:cs="Arial"/>
          <w:sz w:val="24"/>
          <w:szCs w:val="24"/>
        </w:rPr>
        <w:t>;22</w:t>
      </w:r>
      <w:proofErr w:type="gramEnd"/>
      <w:r w:rsidRPr="00107C8B">
        <w:rPr>
          <w:rFonts w:ascii="Arial" w:hAnsi="Arial" w:cs="Arial"/>
          <w:sz w:val="24"/>
          <w:szCs w:val="24"/>
        </w:rPr>
        <w:t xml:space="preserve">(3):[aprox. 10 p.]. Disponible en: </w:t>
      </w:r>
      <w:hyperlink r:id="rId13" w:history="1">
        <w:r w:rsidRPr="00107C8B">
          <w:rPr>
            <w:rStyle w:val="Hipervnculo"/>
            <w:rFonts w:ascii="Arial" w:hAnsi="Arial" w:cs="Arial"/>
            <w:sz w:val="24"/>
            <w:szCs w:val="24"/>
          </w:rPr>
          <w:t>http://scielo.sld.cu/pdf/mdc/v22n3/mdc04318.pdf</w:t>
        </w:r>
      </w:hyperlink>
    </w:p>
    <w:p w:rsidR="00693DAB" w:rsidRPr="00693DAB" w:rsidRDefault="00693DAB" w:rsidP="00CD3413">
      <w:pPr>
        <w:pStyle w:val="Prrafodelista"/>
        <w:numPr>
          <w:ilvl w:val="0"/>
          <w:numId w:val="1"/>
        </w:numPr>
        <w:spacing w:after="0" w:line="360" w:lineRule="auto"/>
        <w:ind w:left="142" w:hanging="284"/>
        <w:jc w:val="both"/>
        <w:rPr>
          <w:rFonts w:ascii="Arial" w:hAnsi="Arial" w:cs="Arial"/>
          <w:sz w:val="24"/>
          <w:szCs w:val="24"/>
        </w:rPr>
      </w:pPr>
      <w:r w:rsidRPr="00693DAB">
        <w:rPr>
          <w:rFonts w:ascii="Arial" w:hAnsi="Arial" w:cs="Arial"/>
          <w:sz w:val="24"/>
          <w:szCs w:val="24"/>
        </w:rPr>
        <w:t xml:space="preserve">Gama Machado JS, Vieira Falabella ME. </w:t>
      </w:r>
      <w:r w:rsidRPr="00693DAB">
        <w:rPr>
          <w:rFonts w:ascii="Arial" w:hAnsi="Arial" w:cs="Arial"/>
          <w:sz w:val="24"/>
          <w:szCs w:val="24"/>
          <w:lang w:val="en-US"/>
        </w:rPr>
        <w:t xml:space="preserve">Prevalence of gingival recession in dental students from the Federal University of Juiz de Fora - Brazil. </w:t>
      </w:r>
      <w:proofErr w:type="spellStart"/>
      <w:r w:rsidRPr="00693DAB">
        <w:rPr>
          <w:rFonts w:ascii="Arial" w:hAnsi="Arial" w:cs="Arial"/>
          <w:sz w:val="24"/>
          <w:szCs w:val="24"/>
        </w:rPr>
        <w:t>Int</w:t>
      </w:r>
      <w:proofErr w:type="spellEnd"/>
      <w:r w:rsidRPr="00693DAB">
        <w:rPr>
          <w:rFonts w:ascii="Arial" w:hAnsi="Arial" w:cs="Arial"/>
          <w:sz w:val="24"/>
          <w:szCs w:val="24"/>
        </w:rPr>
        <w:t xml:space="preserve"> J </w:t>
      </w:r>
      <w:proofErr w:type="spellStart"/>
      <w:r w:rsidRPr="00693DAB">
        <w:rPr>
          <w:rFonts w:ascii="Arial" w:hAnsi="Arial" w:cs="Arial"/>
          <w:sz w:val="24"/>
          <w:szCs w:val="24"/>
        </w:rPr>
        <w:t>Odontostomat</w:t>
      </w:r>
      <w:proofErr w:type="spellEnd"/>
      <w:r w:rsidRPr="00693DAB">
        <w:rPr>
          <w:rFonts w:ascii="Arial" w:hAnsi="Arial" w:cs="Arial"/>
          <w:sz w:val="24"/>
          <w:szCs w:val="24"/>
        </w:rPr>
        <w:t xml:space="preserve"> [Internet]. 2019 [citado 2 </w:t>
      </w:r>
      <w:r>
        <w:rPr>
          <w:rFonts w:ascii="Arial" w:hAnsi="Arial" w:cs="Arial"/>
          <w:sz w:val="24"/>
          <w:szCs w:val="24"/>
        </w:rPr>
        <w:t>Abr 2024</w:t>
      </w:r>
      <w:r w:rsidRPr="00693DAB">
        <w:rPr>
          <w:rFonts w:ascii="Arial" w:hAnsi="Arial" w:cs="Arial"/>
          <w:sz w:val="24"/>
          <w:szCs w:val="24"/>
        </w:rPr>
        <w:t>]</w:t>
      </w:r>
      <w:proofErr w:type="gramStart"/>
      <w:r w:rsidRPr="00693DAB">
        <w:rPr>
          <w:rFonts w:ascii="Arial" w:hAnsi="Arial" w:cs="Arial"/>
          <w:sz w:val="24"/>
          <w:szCs w:val="24"/>
        </w:rPr>
        <w:t>;13</w:t>
      </w:r>
      <w:proofErr w:type="gramEnd"/>
      <w:r w:rsidRPr="00693DAB">
        <w:rPr>
          <w:rFonts w:ascii="Arial" w:hAnsi="Arial" w:cs="Arial"/>
          <w:sz w:val="24"/>
          <w:szCs w:val="24"/>
        </w:rPr>
        <w:t xml:space="preserve">(3):[aprox. 6 p.]. Disponible en: </w:t>
      </w:r>
      <w:hyperlink r:id="rId14" w:history="1">
        <w:r w:rsidRPr="00693DAB">
          <w:rPr>
            <w:rStyle w:val="Hipervnculo"/>
            <w:rFonts w:ascii="Arial" w:hAnsi="Arial" w:cs="Arial"/>
            <w:sz w:val="24"/>
            <w:szCs w:val="24"/>
          </w:rPr>
          <w:t>https://www.scielo.cl/scielo.php?script=sci_arttext&amp;pid=S0718381X2019000300299&amp;Ing=en&amp;nrm=iso&amp;tIng=en</w:t>
        </w:r>
      </w:hyperlink>
    </w:p>
    <w:p w:rsidR="00693DAB" w:rsidRPr="00693DAB" w:rsidRDefault="00693DAB" w:rsidP="00CD3413">
      <w:pPr>
        <w:pStyle w:val="Prrafodelista"/>
        <w:numPr>
          <w:ilvl w:val="0"/>
          <w:numId w:val="1"/>
        </w:numPr>
        <w:spacing w:after="0" w:line="360" w:lineRule="auto"/>
        <w:ind w:left="142" w:hanging="284"/>
        <w:jc w:val="both"/>
        <w:rPr>
          <w:rFonts w:ascii="Arial" w:hAnsi="Arial" w:cs="Arial"/>
          <w:sz w:val="24"/>
          <w:szCs w:val="24"/>
        </w:rPr>
      </w:pPr>
      <w:r w:rsidRPr="00693DAB">
        <w:rPr>
          <w:rFonts w:ascii="Arial" w:hAnsi="Arial" w:cs="Arial"/>
          <w:sz w:val="24"/>
          <w:szCs w:val="24"/>
        </w:rPr>
        <w:t xml:space="preserve">Amaro Rivera Y, Alvarado Negrón G, </w:t>
      </w:r>
      <w:proofErr w:type="spellStart"/>
      <w:r w:rsidRPr="00693DAB">
        <w:rPr>
          <w:rFonts w:ascii="Arial" w:hAnsi="Arial" w:cs="Arial"/>
          <w:sz w:val="24"/>
          <w:szCs w:val="24"/>
        </w:rPr>
        <w:t>Manqui</w:t>
      </w:r>
      <w:proofErr w:type="spellEnd"/>
      <w:r w:rsidRPr="00693DAB">
        <w:rPr>
          <w:rFonts w:ascii="Arial" w:hAnsi="Arial" w:cs="Arial"/>
          <w:sz w:val="24"/>
          <w:szCs w:val="24"/>
        </w:rPr>
        <w:t xml:space="preserve"> Jara N. Prevalencia e indicadores de riesgo de recesiones gingivales en adolescentes de Valdivia en el año 2018. </w:t>
      </w:r>
      <w:proofErr w:type="spellStart"/>
      <w:r w:rsidRPr="00693DAB">
        <w:rPr>
          <w:rFonts w:ascii="Arial" w:hAnsi="Arial" w:cs="Arial"/>
          <w:sz w:val="24"/>
          <w:szCs w:val="24"/>
        </w:rPr>
        <w:t>Int</w:t>
      </w:r>
      <w:proofErr w:type="spellEnd"/>
      <w:r w:rsidRPr="00693DAB">
        <w:rPr>
          <w:rFonts w:ascii="Arial" w:hAnsi="Arial" w:cs="Arial"/>
          <w:sz w:val="24"/>
          <w:szCs w:val="24"/>
        </w:rPr>
        <w:t xml:space="preserve"> J </w:t>
      </w:r>
      <w:proofErr w:type="spellStart"/>
      <w:r w:rsidRPr="00693DAB">
        <w:rPr>
          <w:rFonts w:ascii="Arial" w:hAnsi="Arial" w:cs="Arial"/>
          <w:sz w:val="24"/>
          <w:szCs w:val="24"/>
        </w:rPr>
        <w:t>Interdiscip</w:t>
      </w:r>
      <w:proofErr w:type="spellEnd"/>
      <w:r w:rsidRPr="00693DAB">
        <w:rPr>
          <w:rFonts w:ascii="Arial" w:hAnsi="Arial" w:cs="Arial"/>
          <w:sz w:val="24"/>
          <w:szCs w:val="24"/>
        </w:rPr>
        <w:t xml:space="preserve"> </w:t>
      </w:r>
      <w:proofErr w:type="spellStart"/>
      <w:r w:rsidRPr="00693DAB">
        <w:rPr>
          <w:rFonts w:ascii="Arial" w:hAnsi="Arial" w:cs="Arial"/>
          <w:sz w:val="24"/>
          <w:szCs w:val="24"/>
        </w:rPr>
        <w:t>Dent</w:t>
      </w:r>
      <w:proofErr w:type="spellEnd"/>
      <w:r w:rsidRPr="00693DAB">
        <w:rPr>
          <w:rFonts w:ascii="Arial" w:hAnsi="Arial" w:cs="Arial"/>
          <w:sz w:val="24"/>
          <w:szCs w:val="24"/>
        </w:rPr>
        <w:t xml:space="preserve"> [Internet]. 2020 [citado 2 </w:t>
      </w:r>
      <w:r>
        <w:rPr>
          <w:rFonts w:ascii="Arial" w:hAnsi="Arial" w:cs="Arial"/>
          <w:sz w:val="24"/>
          <w:szCs w:val="24"/>
        </w:rPr>
        <w:t>Abr 2024</w:t>
      </w:r>
      <w:r w:rsidRPr="00693DAB">
        <w:rPr>
          <w:rFonts w:ascii="Arial" w:hAnsi="Arial" w:cs="Arial"/>
          <w:sz w:val="24"/>
          <w:szCs w:val="24"/>
        </w:rPr>
        <w:t>]</w:t>
      </w:r>
      <w:proofErr w:type="gramStart"/>
      <w:r w:rsidRPr="00693DAB">
        <w:rPr>
          <w:rFonts w:ascii="Arial" w:hAnsi="Arial" w:cs="Arial"/>
          <w:sz w:val="24"/>
          <w:szCs w:val="24"/>
        </w:rPr>
        <w:t>;13</w:t>
      </w:r>
      <w:proofErr w:type="gramEnd"/>
      <w:r w:rsidRPr="00693DAB">
        <w:rPr>
          <w:rFonts w:ascii="Arial" w:hAnsi="Arial" w:cs="Arial"/>
          <w:sz w:val="24"/>
          <w:szCs w:val="24"/>
        </w:rPr>
        <w:t xml:space="preserve">(1):[aprox. 6 p.]. Disponible en: </w:t>
      </w:r>
      <w:hyperlink r:id="rId15" w:history="1">
        <w:r w:rsidRPr="00693DAB">
          <w:rPr>
            <w:rStyle w:val="Hipervnculo"/>
            <w:rFonts w:ascii="Arial" w:hAnsi="Arial" w:cs="Arial"/>
            <w:sz w:val="24"/>
            <w:szCs w:val="24"/>
          </w:rPr>
          <w:t>https://www.scielo.cl/scielo.php?script=sci_arttext&amp;pid=S2452558820200001000021&amp;lng=es&amp;nrm=iso&amp;tlng=es</w:t>
        </w:r>
      </w:hyperlink>
    </w:p>
    <w:p w:rsidR="00693DAB" w:rsidRPr="00693DAB" w:rsidRDefault="00693DAB" w:rsidP="00CD3413">
      <w:pPr>
        <w:pStyle w:val="Prrafodelista"/>
        <w:numPr>
          <w:ilvl w:val="0"/>
          <w:numId w:val="1"/>
        </w:numPr>
        <w:spacing w:after="0" w:line="360" w:lineRule="auto"/>
        <w:ind w:left="142" w:hanging="284"/>
        <w:jc w:val="both"/>
        <w:rPr>
          <w:rFonts w:ascii="Arial" w:hAnsi="Arial" w:cs="Arial"/>
          <w:sz w:val="24"/>
          <w:szCs w:val="24"/>
        </w:rPr>
      </w:pPr>
      <w:r w:rsidRPr="00693DAB">
        <w:rPr>
          <w:rFonts w:ascii="Arial" w:hAnsi="Arial" w:cs="Arial"/>
          <w:sz w:val="24"/>
          <w:szCs w:val="24"/>
        </w:rPr>
        <w:t xml:space="preserve">Brito Pérez K, Cruz Morales R, Caballero López D. Trastornos </w:t>
      </w:r>
      <w:proofErr w:type="spellStart"/>
      <w:r w:rsidRPr="00693DAB">
        <w:rPr>
          <w:rFonts w:ascii="Arial" w:hAnsi="Arial" w:cs="Arial"/>
          <w:sz w:val="24"/>
          <w:szCs w:val="24"/>
        </w:rPr>
        <w:t>mucogingivales</w:t>
      </w:r>
      <w:proofErr w:type="spellEnd"/>
      <w:r w:rsidRPr="00693DAB">
        <w:rPr>
          <w:rFonts w:ascii="Arial" w:hAnsi="Arial" w:cs="Arial"/>
          <w:sz w:val="24"/>
          <w:szCs w:val="24"/>
        </w:rPr>
        <w:t xml:space="preserve"> y su tratamiento, cinco años de seguimiento en pacientes matanceros. </w:t>
      </w:r>
      <w:proofErr w:type="spellStart"/>
      <w:r w:rsidRPr="00693DAB">
        <w:rPr>
          <w:rFonts w:ascii="Arial" w:hAnsi="Arial" w:cs="Arial"/>
          <w:sz w:val="24"/>
          <w:szCs w:val="24"/>
        </w:rPr>
        <w:t>Rev</w:t>
      </w:r>
      <w:proofErr w:type="spellEnd"/>
      <w:r w:rsidRPr="00693DAB">
        <w:rPr>
          <w:rFonts w:ascii="Arial" w:hAnsi="Arial" w:cs="Arial"/>
          <w:sz w:val="24"/>
          <w:szCs w:val="24"/>
        </w:rPr>
        <w:t xml:space="preserve"> </w:t>
      </w:r>
      <w:proofErr w:type="spellStart"/>
      <w:r w:rsidRPr="00693DAB">
        <w:rPr>
          <w:rFonts w:ascii="Arial" w:hAnsi="Arial" w:cs="Arial"/>
          <w:sz w:val="24"/>
          <w:szCs w:val="24"/>
        </w:rPr>
        <w:t>Méd</w:t>
      </w:r>
      <w:proofErr w:type="spellEnd"/>
      <w:r w:rsidRPr="00693DAB">
        <w:rPr>
          <w:rFonts w:ascii="Arial" w:hAnsi="Arial" w:cs="Arial"/>
          <w:sz w:val="24"/>
          <w:szCs w:val="24"/>
        </w:rPr>
        <w:t xml:space="preserve"> Electrón [Internet]. 2017 [citado 2 </w:t>
      </w:r>
      <w:r>
        <w:rPr>
          <w:rFonts w:ascii="Arial" w:hAnsi="Arial" w:cs="Arial"/>
          <w:sz w:val="24"/>
          <w:szCs w:val="24"/>
        </w:rPr>
        <w:t>Abr 2024</w:t>
      </w:r>
      <w:r w:rsidRPr="00693DAB">
        <w:rPr>
          <w:rFonts w:ascii="Arial" w:hAnsi="Arial" w:cs="Arial"/>
          <w:sz w:val="24"/>
          <w:szCs w:val="24"/>
        </w:rPr>
        <w:t>]</w:t>
      </w:r>
      <w:proofErr w:type="gramStart"/>
      <w:r w:rsidRPr="00693DAB">
        <w:rPr>
          <w:rFonts w:ascii="Arial" w:hAnsi="Arial" w:cs="Arial"/>
          <w:sz w:val="24"/>
          <w:szCs w:val="24"/>
        </w:rPr>
        <w:t>;39</w:t>
      </w:r>
      <w:proofErr w:type="gramEnd"/>
      <w:r w:rsidRPr="00693DAB">
        <w:rPr>
          <w:rFonts w:ascii="Arial" w:hAnsi="Arial" w:cs="Arial"/>
          <w:sz w:val="24"/>
          <w:szCs w:val="24"/>
        </w:rPr>
        <w:t>(2):[</w:t>
      </w:r>
      <w:proofErr w:type="spellStart"/>
      <w:r w:rsidRPr="00693DAB">
        <w:rPr>
          <w:rFonts w:ascii="Arial" w:hAnsi="Arial" w:cs="Arial"/>
          <w:sz w:val="24"/>
          <w:szCs w:val="24"/>
        </w:rPr>
        <w:t>aprox</w:t>
      </w:r>
      <w:proofErr w:type="spellEnd"/>
      <w:r w:rsidRPr="00693DAB">
        <w:rPr>
          <w:rFonts w:ascii="Arial" w:hAnsi="Arial" w:cs="Arial"/>
          <w:sz w:val="24"/>
          <w:szCs w:val="24"/>
        </w:rPr>
        <w:t xml:space="preserve"> 11.p.]. Disponible en: </w:t>
      </w:r>
      <w:hyperlink r:id="rId16" w:history="1">
        <w:r w:rsidRPr="00693DAB">
          <w:rPr>
            <w:rStyle w:val="Hipervnculo"/>
            <w:rFonts w:ascii="Arial" w:hAnsi="Arial" w:cs="Arial"/>
            <w:sz w:val="24"/>
            <w:szCs w:val="24"/>
          </w:rPr>
          <w:t>http://www.revmedicaelectronica.sld.cu/index.php/rme/article/view/2037/3364</w:t>
        </w:r>
      </w:hyperlink>
    </w:p>
    <w:p w:rsidR="00693DAB" w:rsidRDefault="00693DAB" w:rsidP="00CD3413">
      <w:pPr>
        <w:pStyle w:val="Prrafodelista"/>
        <w:numPr>
          <w:ilvl w:val="0"/>
          <w:numId w:val="1"/>
        </w:numPr>
        <w:spacing w:after="0" w:line="360" w:lineRule="auto"/>
        <w:ind w:left="142" w:hanging="284"/>
        <w:jc w:val="both"/>
        <w:rPr>
          <w:rFonts w:ascii="Arial" w:hAnsi="Arial" w:cs="Arial"/>
          <w:sz w:val="24"/>
          <w:szCs w:val="24"/>
          <w:lang w:val="en-US"/>
        </w:rPr>
      </w:pPr>
      <w:r w:rsidRPr="00693DAB">
        <w:rPr>
          <w:rFonts w:ascii="Arial" w:hAnsi="Arial" w:cs="Arial"/>
          <w:sz w:val="24"/>
          <w:szCs w:val="24"/>
          <w:lang w:val="en-US"/>
        </w:rPr>
        <w:t xml:space="preserve">Takei HH, </w:t>
      </w:r>
      <w:proofErr w:type="spellStart"/>
      <w:r w:rsidRPr="00693DAB">
        <w:rPr>
          <w:rFonts w:ascii="Arial" w:hAnsi="Arial" w:cs="Arial"/>
          <w:sz w:val="24"/>
          <w:szCs w:val="24"/>
          <w:lang w:val="en-US"/>
        </w:rPr>
        <w:t>Scheyer</w:t>
      </w:r>
      <w:proofErr w:type="spellEnd"/>
      <w:r w:rsidRPr="00693DAB">
        <w:rPr>
          <w:rFonts w:ascii="Arial" w:hAnsi="Arial" w:cs="Arial"/>
          <w:sz w:val="24"/>
          <w:szCs w:val="24"/>
          <w:lang w:val="en-US"/>
        </w:rPr>
        <w:t xml:space="preserve"> ET, </w:t>
      </w:r>
      <w:proofErr w:type="spellStart"/>
      <w:r w:rsidRPr="00693DAB">
        <w:rPr>
          <w:rFonts w:ascii="Arial" w:hAnsi="Arial" w:cs="Arial"/>
          <w:sz w:val="24"/>
          <w:szCs w:val="24"/>
          <w:lang w:val="en-US"/>
        </w:rPr>
        <w:t>Azzi</w:t>
      </w:r>
      <w:proofErr w:type="spellEnd"/>
      <w:r w:rsidRPr="00693DAB">
        <w:rPr>
          <w:rFonts w:ascii="Arial" w:hAnsi="Arial" w:cs="Arial"/>
          <w:sz w:val="24"/>
          <w:szCs w:val="24"/>
          <w:lang w:val="en-US"/>
        </w:rPr>
        <w:t xml:space="preserve"> RR, Allen EP, Han TJ. Periodontal plastic aesthetic surgery. In: Newman MG, Takei HH, </w:t>
      </w:r>
      <w:proofErr w:type="spellStart"/>
      <w:r w:rsidRPr="00693DAB">
        <w:rPr>
          <w:rFonts w:ascii="Arial" w:hAnsi="Arial" w:cs="Arial"/>
          <w:sz w:val="24"/>
          <w:szCs w:val="24"/>
          <w:lang w:val="en-US"/>
        </w:rPr>
        <w:t>Klokkevold</w:t>
      </w:r>
      <w:proofErr w:type="spellEnd"/>
      <w:r w:rsidRPr="00693DAB">
        <w:rPr>
          <w:rFonts w:ascii="Arial" w:hAnsi="Arial" w:cs="Arial"/>
          <w:sz w:val="24"/>
          <w:szCs w:val="24"/>
          <w:lang w:val="en-US"/>
        </w:rPr>
        <w:t xml:space="preserve"> PR, </w:t>
      </w:r>
      <w:proofErr w:type="gramStart"/>
      <w:r w:rsidRPr="00693DAB">
        <w:rPr>
          <w:rFonts w:ascii="Arial" w:hAnsi="Arial" w:cs="Arial"/>
          <w:sz w:val="24"/>
          <w:szCs w:val="24"/>
          <w:lang w:val="en-US"/>
        </w:rPr>
        <w:t>Carranza</w:t>
      </w:r>
      <w:proofErr w:type="gramEnd"/>
      <w:r w:rsidRPr="00693DAB">
        <w:rPr>
          <w:rFonts w:ascii="Arial" w:hAnsi="Arial" w:cs="Arial"/>
          <w:sz w:val="24"/>
          <w:szCs w:val="24"/>
          <w:lang w:val="en-US"/>
        </w:rPr>
        <w:t xml:space="preserve"> FA. Newman and Carranza´s Clinical Periodontology. </w:t>
      </w:r>
      <w:proofErr w:type="gramStart"/>
      <w:r w:rsidRPr="00693DAB">
        <w:rPr>
          <w:rFonts w:ascii="Arial" w:hAnsi="Arial" w:cs="Arial"/>
          <w:sz w:val="24"/>
          <w:szCs w:val="24"/>
          <w:lang w:val="en-US"/>
        </w:rPr>
        <w:t>13th</w:t>
      </w:r>
      <w:proofErr w:type="gramEnd"/>
      <w:r w:rsidRPr="00693DAB">
        <w:rPr>
          <w:rFonts w:ascii="Arial" w:hAnsi="Arial" w:cs="Arial"/>
          <w:sz w:val="24"/>
          <w:szCs w:val="24"/>
          <w:lang w:val="en-US"/>
        </w:rPr>
        <w:t xml:space="preserve"> ed. Philadelphia: Elsevier Saunders; 2019. p. 3621-708. </w:t>
      </w:r>
    </w:p>
    <w:p w:rsidR="0086724F" w:rsidRPr="00D6725F" w:rsidRDefault="0086724F" w:rsidP="00CD3413">
      <w:pPr>
        <w:pStyle w:val="Prrafodelista"/>
        <w:numPr>
          <w:ilvl w:val="0"/>
          <w:numId w:val="1"/>
        </w:numPr>
        <w:spacing w:after="0" w:line="360" w:lineRule="auto"/>
        <w:ind w:left="142" w:hanging="284"/>
        <w:jc w:val="both"/>
        <w:rPr>
          <w:rFonts w:ascii="Arial" w:hAnsi="Arial" w:cs="Arial"/>
          <w:sz w:val="24"/>
          <w:szCs w:val="24"/>
        </w:rPr>
      </w:pPr>
      <w:r w:rsidRPr="0086724F">
        <w:rPr>
          <w:rFonts w:ascii="Arial" w:hAnsi="Arial" w:cs="Arial"/>
          <w:sz w:val="24"/>
          <w:szCs w:val="24"/>
        </w:rPr>
        <w:t xml:space="preserve">Tafur Villa ME, Castro Ruiz CT, Mendoza </w:t>
      </w:r>
      <w:proofErr w:type="spellStart"/>
      <w:r w:rsidRPr="0086724F">
        <w:rPr>
          <w:rFonts w:ascii="Arial" w:hAnsi="Arial" w:cs="Arial"/>
          <w:sz w:val="24"/>
          <w:szCs w:val="24"/>
        </w:rPr>
        <w:t>Azpur</w:t>
      </w:r>
      <w:proofErr w:type="spellEnd"/>
      <w:r w:rsidRPr="0086724F">
        <w:rPr>
          <w:rFonts w:ascii="Arial" w:hAnsi="Arial" w:cs="Arial"/>
          <w:sz w:val="24"/>
          <w:szCs w:val="24"/>
        </w:rPr>
        <w:t xml:space="preserve"> G. Factores asociados al recubrimiento total de recesiones gingivales clases I y II de Miller. </w:t>
      </w:r>
      <w:proofErr w:type="spellStart"/>
      <w:r w:rsidRPr="0086724F">
        <w:rPr>
          <w:rFonts w:ascii="Arial" w:hAnsi="Arial" w:cs="Arial"/>
          <w:sz w:val="24"/>
          <w:szCs w:val="24"/>
        </w:rPr>
        <w:t>Rev</w:t>
      </w:r>
      <w:proofErr w:type="spellEnd"/>
      <w:r w:rsidRPr="0086724F">
        <w:rPr>
          <w:rFonts w:ascii="Arial" w:hAnsi="Arial" w:cs="Arial"/>
          <w:sz w:val="24"/>
          <w:szCs w:val="24"/>
        </w:rPr>
        <w:t xml:space="preserve"> Cubana </w:t>
      </w:r>
      <w:proofErr w:type="spellStart"/>
      <w:r w:rsidRPr="0086724F">
        <w:rPr>
          <w:rFonts w:ascii="Arial" w:hAnsi="Arial" w:cs="Arial"/>
          <w:sz w:val="24"/>
          <w:szCs w:val="24"/>
        </w:rPr>
        <w:t>Estomatol</w:t>
      </w:r>
      <w:proofErr w:type="spellEnd"/>
      <w:r w:rsidRPr="0086724F">
        <w:rPr>
          <w:rFonts w:ascii="Arial" w:hAnsi="Arial" w:cs="Arial"/>
          <w:sz w:val="24"/>
          <w:szCs w:val="24"/>
        </w:rPr>
        <w:t xml:space="preserve"> [Internet]. 2021 [citado 12 </w:t>
      </w:r>
      <w:proofErr w:type="spellStart"/>
      <w:r w:rsidRPr="0086724F">
        <w:rPr>
          <w:rFonts w:ascii="Arial" w:hAnsi="Arial" w:cs="Arial"/>
          <w:sz w:val="24"/>
          <w:szCs w:val="24"/>
        </w:rPr>
        <w:t>Sep</w:t>
      </w:r>
      <w:proofErr w:type="spellEnd"/>
      <w:r w:rsidRPr="0086724F">
        <w:rPr>
          <w:rFonts w:ascii="Arial" w:hAnsi="Arial" w:cs="Arial"/>
          <w:sz w:val="24"/>
          <w:szCs w:val="24"/>
        </w:rPr>
        <w:t xml:space="preserve"> 2022]</w:t>
      </w:r>
      <w:proofErr w:type="gramStart"/>
      <w:r w:rsidRPr="0086724F">
        <w:rPr>
          <w:rFonts w:ascii="Arial" w:hAnsi="Arial" w:cs="Arial"/>
          <w:sz w:val="24"/>
          <w:szCs w:val="24"/>
        </w:rPr>
        <w:t>;58</w:t>
      </w:r>
      <w:proofErr w:type="gramEnd"/>
      <w:r w:rsidRPr="0086724F">
        <w:rPr>
          <w:rFonts w:ascii="Arial" w:hAnsi="Arial" w:cs="Arial"/>
          <w:sz w:val="24"/>
          <w:szCs w:val="24"/>
        </w:rPr>
        <w:t xml:space="preserve">(2):[aprox. 8 p.]. Disponible en: </w:t>
      </w:r>
      <w:hyperlink r:id="rId17" w:history="1">
        <w:r w:rsidRPr="0086724F">
          <w:rPr>
            <w:rStyle w:val="Hipervnculo"/>
            <w:rFonts w:ascii="Arial" w:hAnsi="Arial" w:cs="Arial"/>
            <w:sz w:val="24"/>
            <w:szCs w:val="24"/>
          </w:rPr>
          <w:t>http://www.revestomatologia.sld.cu/index.php/est/article/view/3154/1929</w:t>
        </w:r>
      </w:hyperlink>
      <w:r w:rsidRPr="0086724F">
        <w:rPr>
          <w:rFonts w:ascii="Arial" w:hAnsi="Arial" w:cs="Arial"/>
          <w:sz w:val="24"/>
          <w:szCs w:val="24"/>
        </w:rPr>
        <w:t xml:space="preserve"> </w:t>
      </w:r>
    </w:p>
    <w:p w:rsidR="00693DAB" w:rsidRPr="00CD3413" w:rsidRDefault="00693DAB" w:rsidP="00CD3413">
      <w:pPr>
        <w:pStyle w:val="Prrafodelista"/>
        <w:numPr>
          <w:ilvl w:val="0"/>
          <w:numId w:val="1"/>
        </w:numPr>
        <w:spacing w:after="0" w:line="360" w:lineRule="auto"/>
        <w:ind w:left="142" w:hanging="284"/>
        <w:jc w:val="both"/>
        <w:rPr>
          <w:rStyle w:val="Hipervnculo"/>
          <w:rFonts w:ascii="Arial" w:hAnsi="Arial" w:cs="Arial"/>
          <w:color w:val="auto"/>
          <w:sz w:val="24"/>
          <w:szCs w:val="24"/>
          <w:u w:val="none"/>
        </w:rPr>
      </w:pPr>
      <w:r w:rsidRPr="0086724F">
        <w:rPr>
          <w:rFonts w:ascii="Arial" w:hAnsi="Arial" w:cs="Arial"/>
          <w:sz w:val="24"/>
          <w:szCs w:val="24"/>
        </w:rPr>
        <w:t xml:space="preserve">Pineda </w:t>
      </w:r>
      <w:proofErr w:type="spellStart"/>
      <w:r w:rsidRPr="0086724F">
        <w:rPr>
          <w:rFonts w:ascii="Arial" w:hAnsi="Arial" w:cs="Arial"/>
          <w:sz w:val="24"/>
          <w:szCs w:val="24"/>
        </w:rPr>
        <w:t>Bombino</w:t>
      </w:r>
      <w:proofErr w:type="spellEnd"/>
      <w:r w:rsidRPr="0086724F">
        <w:rPr>
          <w:rFonts w:ascii="Arial" w:hAnsi="Arial" w:cs="Arial"/>
          <w:sz w:val="24"/>
          <w:szCs w:val="24"/>
        </w:rPr>
        <w:t xml:space="preserve"> L, </w:t>
      </w:r>
      <w:proofErr w:type="spellStart"/>
      <w:r w:rsidRPr="0086724F">
        <w:rPr>
          <w:rFonts w:ascii="Arial" w:hAnsi="Arial" w:cs="Arial"/>
          <w:sz w:val="24"/>
          <w:szCs w:val="24"/>
        </w:rPr>
        <w:t>Sarduy</w:t>
      </w:r>
      <w:proofErr w:type="spellEnd"/>
      <w:r w:rsidRPr="0086724F">
        <w:rPr>
          <w:rFonts w:ascii="Arial" w:hAnsi="Arial" w:cs="Arial"/>
          <w:sz w:val="24"/>
          <w:szCs w:val="24"/>
        </w:rPr>
        <w:t xml:space="preserve"> </w:t>
      </w:r>
      <w:proofErr w:type="spellStart"/>
      <w:r w:rsidRPr="0086724F">
        <w:rPr>
          <w:rFonts w:ascii="Arial" w:hAnsi="Arial" w:cs="Arial"/>
          <w:sz w:val="24"/>
          <w:szCs w:val="24"/>
        </w:rPr>
        <w:t>Bermudez</w:t>
      </w:r>
      <w:proofErr w:type="spellEnd"/>
      <w:r w:rsidRPr="0086724F">
        <w:rPr>
          <w:rFonts w:ascii="Arial" w:hAnsi="Arial" w:cs="Arial"/>
          <w:sz w:val="24"/>
          <w:szCs w:val="24"/>
        </w:rPr>
        <w:t xml:space="preserve"> L, Rodriguez Felipe M. Modificación del injerto en sobre para recesión periodontal asociada a insuficiente profundidad vestibular. Informe de caso. </w:t>
      </w:r>
      <w:proofErr w:type="spellStart"/>
      <w:r w:rsidRPr="0086724F">
        <w:rPr>
          <w:rFonts w:ascii="Arial" w:hAnsi="Arial" w:cs="Arial"/>
          <w:sz w:val="24"/>
          <w:szCs w:val="24"/>
        </w:rPr>
        <w:t>Medicent</w:t>
      </w:r>
      <w:proofErr w:type="spellEnd"/>
      <w:r w:rsidRPr="0086724F">
        <w:rPr>
          <w:rFonts w:ascii="Arial" w:hAnsi="Arial" w:cs="Arial"/>
          <w:sz w:val="24"/>
          <w:szCs w:val="24"/>
        </w:rPr>
        <w:t xml:space="preserve"> Electrón [Internet]. 2024 [citado 2 Abr 2024]</w:t>
      </w:r>
      <w:proofErr w:type="gramStart"/>
      <w:r w:rsidRPr="0086724F">
        <w:rPr>
          <w:rFonts w:ascii="Arial" w:hAnsi="Arial" w:cs="Arial"/>
          <w:sz w:val="24"/>
          <w:szCs w:val="24"/>
        </w:rPr>
        <w:t>;23</w:t>
      </w:r>
      <w:proofErr w:type="gramEnd"/>
      <w:r w:rsidRPr="0086724F">
        <w:rPr>
          <w:rFonts w:ascii="Arial" w:hAnsi="Arial" w:cs="Arial"/>
          <w:sz w:val="24"/>
          <w:szCs w:val="24"/>
        </w:rPr>
        <w:t xml:space="preserve">(3):[aprox. 5 p.]. Disponible en: </w:t>
      </w:r>
      <w:hyperlink r:id="rId18" w:history="1">
        <w:r w:rsidRPr="0086724F">
          <w:rPr>
            <w:rStyle w:val="Hipervnculo"/>
            <w:rFonts w:ascii="Arial" w:hAnsi="Arial" w:cs="Arial"/>
            <w:sz w:val="24"/>
            <w:szCs w:val="24"/>
          </w:rPr>
          <w:t>http://medicentro.sld.cu/index.php/medicentro/aricle/view/3883</w:t>
        </w:r>
      </w:hyperlink>
    </w:p>
    <w:p w:rsidR="00CD3413" w:rsidRDefault="00CD3413" w:rsidP="00CD3413">
      <w:pPr>
        <w:pStyle w:val="Prrafodelista"/>
        <w:spacing w:after="0" w:line="360" w:lineRule="auto"/>
        <w:ind w:left="142"/>
        <w:jc w:val="both"/>
        <w:rPr>
          <w:rStyle w:val="Hipervnculo"/>
          <w:rFonts w:ascii="Arial" w:hAnsi="Arial" w:cs="Arial"/>
          <w:sz w:val="24"/>
          <w:szCs w:val="24"/>
        </w:rPr>
      </w:pPr>
    </w:p>
    <w:p w:rsidR="00CD3413" w:rsidRDefault="00CD3413" w:rsidP="00CD3413">
      <w:pPr>
        <w:pStyle w:val="Prrafodelista"/>
        <w:spacing w:after="0" w:line="360" w:lineRule="auto"/>
        <w:ind w:left="142"/>
        <w:jc w:val="both"/>
        <w:rPr>
          <w:rStyle w:val="Hipervnculo"/>
          <w:rFonts w:ascii="Arial" w:hAnsi="Arial" w:cs="Arial"/>
          <w:sz w:val="24"/>
          <w:szCs w:val="24"/>
        </w:rPr>
      </w:pPr>
    </w:p>
    <w:p w:rsidR="00CD3413" w:rsidRPr="00492AFB" w:rsidRDefault="00492AFB" w:rsidP="00492AFB">
      <w:pPr>
        <w:pStyle w:val="Prrafodelista"/>
        <w:spacing w:after="0" w:line="360" w:lineRule="auto"/>
        <w:ind w:left="142"/>
        <w:jc w:val="center"/>
        <w:rPr>
          <w:rStyle w:val="Hipervnculo"/>
          <w:rFonts w:ascii="Arial" w:hAnsi="Arial" w:cs="Arial"/>
          <w:b/>
          <w:color w:val="auto"/>
          <w:sz w:val="24"/>
          <w:szCs w:val="24"/>
          <w:u w:val="none"/>
        </w:rPr>
      </w:pPr>
      <w:r w:rsidRPr="00492AFB">
        <w:rPr>
          <w:rStyle w:val="Hipervnculo"/>
          <w:rFonts w:ascii="Arial" w:hAnsi="Arial" w:cs="Arial"/>
          <w:b/>
          <w:color w:val="auto"/>
          <w:sz w:val="24"/>
          <w:szCs w:val="24"/>
          <w:u w:val="none"/>
        </w:rPr>
        <w:t>Conflictos de intereses</w:t>
      </w:r>
    </w:p>
    <w:p w:rsidR="00492AFB" w:rsidRPr="00CD3413" w:rsidRDefault="00492AFB" w:rsidP="00CD3413">
      <w:pPr>
        <w:pStyle w:val="Prrafodelista"/>
        <w:spacing w:after="0" w:line="360" w:lineRule="auto"/>
        <w:ind w:left="142"/>
        <w:jc w:val="both"/>
        <w:rPr>
          <w:rFonts w:ascii="Arial" w:hAnsi="Arial" w:cs="Arial"/>
          <w:sz w:val="24"/>
          <w:szCs w:val="24"/>
        </w:rPr>
      </w:pPr>
      <w:r>
        <w:rPr>
          <w:rStyle w:val="Hipervnculo"/>
          <w:rFonts w:ascii="Arial" w:hAnsi="Arial" w:cs="Arial"/>
          <w:color w:val="auto"/>
          <w:sz w:val="24"/>
          <w:szCs w:val="24"/>
          <w:u w:val="none"/>
        </w:rPr>
        <w:t>Los autores declaran no tener ningún conflicto de intereses</w:t>
      </w:r>
    </w:p>
    <w:sectPr w:rsidR="00492AFB" w:rsidRPr="00CD34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Mincho"/>
    <w:charset w:val="80"/>
    <w:family w:val="auto"/>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CE6EED"/>
    <w:multiLevelType w:val="hybridMultilevel"/>
    <w:tmpl w:val="932C87C0"/>
    <w:lvl w:ilvl="0" w:tplc="9D30CF3A">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00"/>
    <w:rsid w:val="00107C8B"/>
    <w:rsid w:val="002216B9"/>
    <w:rsid w:val="002C5205"/>
    <w:rsid w:val="003034E3"/>
    <w:rsid w:val="00331AA2"/>
    <w:rsid w:val="003B0830"/>
    <w:rsid w:val="00414CA6"/>
    <w:rsid w:val="00492AFB"/>
    <w:rsid w:val="00693DAB"/>
    <w:rsid w:val="007F2E00"/>
    <w:rsid w:val="0086724F"/>
    <w:rsid w:val="00A123AF"/>
    <w:rsid w:val="00B8674B"/>
    <w:rsid w:val="00BD169D"/>
    <w:rsid w:val="00CD1DA8"/>
    <w:rsid w:val="00CD3413"/>
    <w:rsid w:val="00D6725F"/>
    <w:rsid w:val="00D71846"/>
    <w:rsid w:val="00DB5252"/>
    <w:rsid w:val="00E77BDC"/>
    <w:rsid w:val="00E87229"/>
    <w:rsid w:val="00EA6E06"/>
    <w:rsid w:val="00F06A5A"/>
    <w:rsid w:val="00F4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9216B-CA77-40E8-A608-050E2958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034E3"/>
    <w:rPr>
      <w:color w:val="0000FF"/>
      <w:u w:val="single"/>
    </w:rPr>
  </w:style>
  <w:style w:type="paragraph" w:styleId="NormalWeb">
    <w:name w:val="Normal (Web)"/>
    <w:basedOn w:val="Normal"/>
    <w:uiPriority w:val="99"/>
    <w:unhideWhenUsed/>
    <w:rsid w:val="003034E3"/>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693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ielo.sld.cu/pdf/mdc/v22n3/mdc04318.pdf" TargetMode="External"/><Relationship Id="rId18" Type="http://schemas.openxmlformats.org/officeDocument/2006/relationships/hyperlink" Target="http://medicentro.sld.cu/index.php/medicentro/aricle/view/3883"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cielo.sld.cu/scielo.php?script=sci_arttext&amp;pid=S086403002021000100020&amp;lng=es" TargetMode="External"/><Relationship Id="rId17" Type="http://schemas.openxmlformats.org/officeDocument/2006/relationships/hyperlink" Target="http://www.revestomatologia.sld.cu/index.php/est/article/view/3154/1929" TargetMode="External"/><Relationship Id="rId2" Type="http://schemas.openxmlformats.org/officeDocument/2006/relationships/styles" Target="styles.xml"/><Relationship Id="rId16" Type="http://schemas.openxmlformats.org/officeDocument/2006/relationships/hyperlink" Target="http://www.revmedicaelectronica.sld.cu/index.php/rme/article/view/2037/336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medigraphic.com/cgibin/newresumen.cgi?IDARTICULO=92122" TargetMode="External"/><Relationship Id="rId5" Type="http://schemas.openxmlformats.org/officeDocument/2006/relationships/hyperlink" Target="http://scielo.sld.cu/scielo.php?script=sci_arttext&amp;pid=S0864-03002021000100020" TargetMode="External"/><Relationship Id="rId15" Type="http://schemas.openxmlformats.org/officeDocument/2006/relationships/hyperlink" Target="https://www.scielo.cl/scielo.php?script=sci_arttext&amp;pid=S2452558820200001000021&amp;lng=es&amp;nrm=iso&amp;tlng=es" TargetMode="Externa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scielo.cl/scielo.php?script=sci_arttext&amp;pid=S0718381X2019000300299&amp;Ing=en&amp;nrm=iso&amp;tIng=e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7</Pages>
  <Words>2008</Words>
  <Characters>11047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Marysol</dc:creator>
  <cp:keywords/>
  <dc:description/>
  <cp:lastModifiedBy>Casa</cp:lastModifiedBy>
  <cp:revision>9</cp:revision>
  <dcterms:created xsi:type="dcterms:W3CDTF">2008-01-01T06:01:00Z</dcterms:created>
  <dcterms:modified xsi:type="dcterms:W3CDTF">2024-05-07T00:27:00Z</dcterms:modified>
</cp:coreProperties>
</file>